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spacing w:before="0" w:after="280"/>
        <w:jc w:val="center"/>
        <w:rPr>
          <w:rFonts w:eastAsia="Times New Roman"/>
          <w:sz w:val="28"/>
          <w:szCs w:val="28"/>
        </w:rPr>
      </w:pPr>
      <w:r>
        <w:rPr>
          <w:rFonts w:eastAsia="Times New Roman"/>
          <w:sz w:val="28"/>
          <w:szCs w:val="28"/>
        </w:rPr>
        <w:t>ЗАЯВА</w:t>
        <w:br/>
        <w:t xml:space="preserve">про приєднання електроустановки певної потужності </w:t>
      </w:r>
    </w:p>
    <w:tbl>
      <w:tblPr>
        <w:tblW w:w="10768" w:type="dxa"/>
        <w:jc w:val="center"/>
        <w:tblInd w:w="0" w:type="dxa"/>
        <w:tblLayout w:type="fixed"/>
        <w:tblCellMar>
          <w:top w:w="30" w:type="dxa"/>
          <w:left w:w="30" w:type="dxa"/>
          <w:bottom w:w="30" w:type="dxa"/>
          <w:right w:w="30" w:type="dxa"/>
        </w:tblCellMar>
        <w:tblLook w:val="04a0" w:noHBand="0" w:noVBand="1" w:firstColumn="1" w:lastRow="0" w:lastColumn="0" w:firstRow="1"/>
      </w:tblPr>
      <w:tblGrid>
        <w:gridCol w:w="334"/>
        <w:gridCol w:w="934"/>
        <w:gridCol w:w="2128"/>
        <w:gridCol w:w="1628"/>
        <w:gridCol w:w="214"/>
        <w:gridCol w:w="570"/>
        <w:gridCol w:w="1115"/>
        <w:gridCol w:w="158"/>
        <w:gridCol w:w="1238"/>
        <w:gridCol w:w="235"/>
        <w:gridCol w:w="430"/>
        <w:gridCol w:w="1783"/>
      </w:tblGrid>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Вхідний номер</w:t>
              <w:br/>
              <w:t>(заповнюється ОСР під час подання заяви замовником)</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Дата реєстрації</w:t>
              <w:br/>
              <w:t>(заповнюється ОСР під час подання заяви замовником)</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Кому:</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Оператор системи розподілу</w:t>
              <w:br/>
              <w:t>(структурний підрозділ за місцем розташування електроустановок замовника)</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Керівнику Оператора системи розподілу</w:t>
              <w:br/>
              <w:t>(структурного підрозділу за місцем розташування електроустановок замовника)</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 </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6</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Від кого:</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7</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Найменування юридичної особи або ПІБ фізичної особи-замовника послуги з приєднання до електричних мереж</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8</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9</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Унікальний номер запису в Єдиному державному демографічному реєстрі (за наявності)</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10</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Наявність/відсутність статусу платника єдиного податку</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11</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12</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Код ЄДРПОУ (для юридичної особи)</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13</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Банківські реквізити замовника</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14</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Характеристика об'єкта замовника:</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15</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Назва</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16</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Місце розташування</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17</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Функціональне призначення об'єкта</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18</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Загальні вихідні дані щодо параметрів електроустановок замовника:</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19</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Мета приєднання</w:t>
              <w:br/>
              <w:t>(нове приєднання/зміна технічних параметрів)</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20</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Призначення (тип) електроустановки (споживання/виробництва електричної енергії чи зберігання енергії)</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280"/>
              <w:jc w:val="center"/>
              <w:rPr>
                <w:sz w:val="20"/>
                <w:szCs w:val="20"/>
              </w:rPr>
            </w:pPr>
            <w:r>
              <w:rPr>
                <w:sz w:val="20"/>
                <w:szCs w:val="20"/>
              </w:rPr>
            </w:r>
          </w:p>
          <w:p>
            <w:pPr>
              <w:pStyle w:val="NormalWeb"/>
              <w:widowControl w:val="false"/>
              <w:spacing w:before="280" w:after="280"/>
              <w:jc w:val="center"/>
              <w:rPr>
                <w:sz w:val="20"/>
                <w:szCs w:val="20"/>
              </w:rPr>
            </w:pPr>
            <w:r>
              <w:rPr>
                <w:sz w:val="20"/>
                <w:szCs w:val="20"/>
              </w:rPr>
            </w:r>
          </w:p>
          <w:p>
            <w:pPr>
              <w:pStyle w:val="NormalWeb"/>
              <w:widowControl w:val="false"/>
              <w:spacing w:before="280" w:after="280"/>
              <w:jc w:val="center"/>
              <w:rPr>
                <w:sz w:val="20"/>
                <w:szCs w:val="20"/>
              </w:rPr>
            </w:pPr>
            <w:r>
              <w:rPr>
                <w:sz w:val="20"/>
                <w:szCs w:val="20"/>
              </w:rPr>
            </w:r>
          </w:p>
          <w:p>
            <w:pPr>
              <w:pStyle w:val="NormalWeb"/>
              <w:widowControl w:val="false"/>
              <w:spacing w:before="280" w:after="0"/>
              <w:jc w:val="center"/>
              <w:rPr>
                <w:sz w:val="20"/>
                <w:szCs w:val="20"/>
                <w:lang w:val="en-US"/>
              </w:rPr>
            </w:pPr>
            <w:r>
              <w:rPr>
                <w:sz w:val="20"/>
                <w:szCs w:val="20"/>
                <w:lang w:val="en-US"/>
              </w:rPr>
            </w:r>
          </w:p>
        </w:tc>
      </w:tr>
      <w:tr>
        <w:trPr/>
        <w:tc>
          <w:tcPr>
            <w:tcW w:w="3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21</w:t>
            </w:r>
          </w:p>
        </w:tc>
        <w:tc>
          <w:tcPr>
            <w:tcW w:w="3062" w:type="dxa"/>
            <w:gridSpan w:val="2"/>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lang w:val="ru-RU"/>
              </w:rPr>
            </w:pPr>
            <w:r>
              <w:rPr>
                <w:sz w:val="20"/>
                <w:szCs w:val="20"/>
              </w:rPr>
              <w:t>Дозволена потужність відповідно до умов договору про надання послуг з розподілу електричної енергії</w:t>
            </w:r>
            <w:r>
              <w:rPr>
                <w:sz w:val="20"/>
                <w:szCs w:val="20"/>
                <w:lang w:val="ru-RU"/>
              </w:rPr>
              <w:t xml:space="preserve"> </w:t>
            </w:r>
            <w:r>
              <w:rPr>
                <w:b/>
                <w:sz w:val="20"/>
                <w:szCs w:val="20"/>
                <w:lang w:val="ru-RU"/>
              </w:rPr>
              <w:t>(</w:t>
            </w:r>
            <w:r>
              <w:rPr>
                <w:b/>
                <w:sz w:val="20"/>
                <w:szCs w:val="20"/>
              </w:rPr>
              <w:t>у разі наявності</w:t>
            </w:r>
            <w:r>
              <w:rPr>
                <w:b/>
                <w:sz w:val="20"/>
                <w:szCs w:val="20"/>
                <w:lang w:val="ru-RU"/>
              </w:rPr>
              <w:t>)</w:t>
            </w:r>
          </w:p>
        </w:tc>
        <w:tc>
          <w:tcPr>
            <w:tcW w:w="1628"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Потужність, кВт</w:t>
            </w:r>
          </w:p>
        </w:tc>
        <w:tc>
          <w:tcPr>
            <w:tcW w:w="2057"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Ступінь напруги в точці приєднання, кВ</w:t>
            </w:r>
          </w:p>
        </w:tc>
        <w:tc>
          <w:tcPr>
            <w:tcW w:w="147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Номер договору на розподіл</w:t>
            </w:r>
          </w:p>
        </w:tc>
        <w:tc>
          <w:tcPr>
            <w:tcW w:w="2213"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Дата договору на розподіл</w:t>
            </w:r>
          </w:p>
        </w:tc>
      </w:tr>
      <w:tr>
        <w:trPr/>
        <w:tc>
          <w:tcPr>
            <w:tcW w:w="3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306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628"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057"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22</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Замовлена до приєднання потужність,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23</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24</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Рівень напруги в точці приєднання, кВ</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r>
          </w:p>
        </w:tc>
      </w:tr>
      <w:tr>
        <w:trPr/>
        <w:tc>
          <w:tcPr>
            <w:tcW w:w="3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25</w:t>
            </w:r>
          </w:p>
        </w:tc>
        <w:tc>
          <w:tcPr>
            <w:tcW w:w="3062" w:type="dxa"/>
            <w:gridSpan w:val="2"/>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Категорія надійності, кВт</w:t>
            </w:r>
          </w:p>
        </w:tc>
        <w:tc>
          <w:tcPr>
            <w:tcW w:w="2412"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 xml:space="preserve">I категорія </w:t>
              <w:br/>
              <w:t>надійності електропостачання</w:t>
            </w:r>
          </w:p>
        </w:tc>
        <w:tc>
          <w:tcPr>
            <w:tcW w:w="2511"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II категорія надійності електропостачання</w:t>
            </w:r>
          </w:p>
        </w:tc>
        <w:tc>
          <w:tcPr>
            <w:tcW w:w="2448"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III категорія надійності електропостачання</w:t>
            </w:r>
          </w:p>
        </w:tc>
      </w:tr>
      <w:tr>
        <w:trPr/>
        <w:tc>
          <w:tcPr>
            <w:tcW w:w="3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3062"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412"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511"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448"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26</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Графік введення потужностей за роками (заповнюється замовником, юридичною особою або фізичною особою-підприємцем):</w:t>
            </w:r>
          </w:p>
        </w:tc>
      </w:tr>
      <w:tr>
        <w:trPr/>
        <w:tc>
          <w:tcPr>
            <w:tcW w:w="3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27</w:t>
            </w:r>
          </w:p>
        </w:tc>
        <w:tc>
          <w:tcPr>
            <w:tcW w:w="934"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sz w:val="20"/>
                <w:szCs w:val="20"/>
              </w:rPr>
            </w:pPr>
            <w:r>
              <w:rPr>
                <w:sz w:val="20"/>
                <w:szCs w:val="20"/>
              </w:rPr>
              <w:t>Рік введення потуж</w:t>
            </w:r>
          </w:p>
          <w:p>
            <w:pPr>
              <w:pStyle w:val="NormalWeb"/>
              <w:widowControl w:val="false"/>
              <w:spacing w:beforeAutospacing="0" w:before="0" w:afterAutospacing="0" w:after="0"/>
              <w:jc w:val="center"/>
              <w:rPr/>
            </w:pPr>
            <w:r>
              <w:rPr>
                <w:sz w:val="20"/>
                <w:szCs w:val="20"/>
              </w:rPr>
              <w:t>ності</w:t>
            </w:r>
          </w:p>
        </w:tc>
        <w:tc>
          <w:tcPr>
            <w:tcW w:w="2128"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5588" w:type="dxa"/>
            <w:gridSpan w:val="8"/>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Категорія надійності електропостачання</w:t>
            </w:r>
          </w:p>
        </w:tc>
        <w:tc>
          <w:tcPr>
            <w:tcW w:w="1783" w:type="dxa"/>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Прогнозована дата введення об'єкта замовника в експлуатацію</w:t>
            </w:r>
          </w:p>
        </w:tc>
      </w:tr>
      <w:tr>
        <w:trPr/>
        <w:tc>
          <w:tcPr>
            <w:tcW w:w="3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9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 xml:space="preserve">I категорія </w:t>
              <w:br/>
              <w:t>надійності електропостачання</w:t>
            </w:r>
          </w:p>
        </w:tc>
        <w:tc>
          <w:tcPr>
            <w:tcW w:w="184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II категорія надійності електропостачання</w:t>
            </w:r>
          </w:p>
        </w:tc>
        <w:tc>
          <w:tcPr>
            <w:tcW w:w="190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pPr>
            <w:r>
              <w:rPr>
                <w:sz w:val="20"/>
                <w:szCs w:val="20"/>
              </w:rPr>
              <w:t>III категорія надійності електропостачання</w:t>
            </w:r>
          </w:p>
        </w:tc>
        <w:tc>
          <w:tcPr>
            <w:tcW w:w="17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28</w:t>
            </w:r>
          </w:p>
        </w:tc>
        <w:tc>
          <w:tcPr>
            <w:tcW w:w="934"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128"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90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783"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29</w:t>
            </w:r>
          </w:p>
        </w:tc>
        <w:tc>
          <w:tcPr>
            <w:tcW w:w="934"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128"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90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783"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30</w:t>
            </w:r>
          </w:p>
        </w:tc>
        <w:tc>
          <w:tcPr>
            <w:tcW w:w="934"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2128"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84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903" w:type="dxa"/>
            <w:gridSpan w:val="3"/>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c>
          <w:tcPr>
            <w:tcW w:w="1783"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31</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br/>
              <w:t>(ЗАПЕРЕЧУЮ/НЕ ЗАПЕРЕЧУЮ)</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32</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Інформація про бажання замовника здійснювати проєктування лінійної частини приєднання (самостійно/оператором системи розподілу (послуга «під ключ»))</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33</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34</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Необхідність приєднання будівельних струмоприймачів,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rHeight w:val="2229" w:hRule="atLeast"/>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35</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(ТАК/НІ)</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36</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Приєднання електроустановок замовника до електричних мереж суб'єкта господарювання, який не є ОСР (ТАК/НІ)</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37</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sz w:val="20"/>
                <w:szCs w:val="20"/>
              </w:rPr>
            </w:pPr>
            <w:r>
              <w:rPr>
                <w:b/>
                <w:sz w:val="20"/>
                <w:szCs w:val="20"/>
              </w:rPr>
              <w:t>Обраний Замовником постачальник послуги комерційного обліку (вказати необхідне)</w:t>
            </w:r>
          </w:p>
          <w:p>
            <w:pPr>
              <w:pStyle w:val="NormalWeb"/>
              <w:widowControl w:val="false"/>
              <w:spacing w:before="280" w:after="0"/>
              <w:rPr>
                <w:sz w:val="20"/>
                <w:szCs w:val="20"/>
              </w:rPr>
            </w:pPr>
            <w:r>
              <w:rPr>
                <w:rStyle w:val="Xfm68768843"/>
                <w:bCs/>
                <w:i/>
                <w:sz w:val="20"/>
                <w:szCs w:val="20"/>
              </w:rPr>
              <w:t xml:space="preserve">* з реєстром ППКО можна ознайомитися за посиланням: </w:t>
            </w:r>
            <w:hyperlink r:id="rId2">
              <w:r>
                <w:rPr>
                  <w:rStyle w:val="InternetLink"/>
                  <w:i/>
                  <w:color w:val="000000" w:themeColor="text1"/>
                  <w:sz w:val="20"/>
                  <w:szCs w:val="20"/>
                </w:rPr>
                <w:t>https://ua.energy/uchasnikam_rinku/administrator-komertsijnogo-obliku/reyestr-ppko-ta-protsedura-yih-reyestratsiyi/</w:t>
              </w:r>
            </w:hyperlink>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center"/>
              <w:rPr>
                <w:b/>
                <w:sz w:val="20"/>
                <w:szCs w:val="20"/>
              </w:rPr>
            </w:pPr>
            <w:r>
              <w:rPr>
                <w:b/>
                <w:sz w:val="20"/>
                <w:szCs w:val="20"/>
              </w:rPr>
            </w:r>
          </w:p>
          <w:p>
            <w:pPr>
              <w:pStyle w:val="NormalWeb"/>
              <w:widowControl w:val="false"/>
              <w:spacing w:beforeAutospacing="0" w:before="0" w:afterAutospacing="0" w:after="0"/>
              <w:jc w:val="center"/>
              <w:rPr>
                <w:b/>
                <w:sz w:val="20"/>
                <w:szCs w:val="20"/>
              </w:rPr>
            </w:pPr>
            <w:r>
              <w:rPr>
                <w:b/>
                <w:sz w:val="20"/>
                <w:szCs w:val="20"/>
              </w:rPr>
            </w:r>
          </w:p>
          <w:p>
            <w:pPr>
              <w:pStyle w:val="NormalWeb"/>
              <w:widowControl w:val="false"/>
              <w:spacing w:beforeAutospacing="0" w:before="0" w:afterAutospacing="0" w:after="0"/>
              <w:jc w:val="center"/>
              <w:rPr>
                <w:b/>
                <w:sz w:val="20"/>
                <w:szCs w:val="20"/>
              </w:rPr>
            </w:pPr>
            <w:r>
              <w:rPr>
                <w:b/>
                <w:sz w:val="20"/>
                <w:szCs w:val="20"/>
              </w:rPr>
            </w:r>
          </w:p>
          <w:p>
            <w:pPr>
              <w:pStyle w:val="NormalWeb"/>
              <w:widowControl w:val="false"/>
              <w:spacing w:beforeAutospacing="0" w:before="0" w:afterAutospacing="0" w:after="0"/>
              <w:jc w:val="center"/>
              <w:rPr>
                <w:b/>
                <w:sz w:val="20"/>
                <w:szCs w:val="20"/>
              </w:rPr>
            </w:pPr>
            <w:r>
              <w:rPr>
                <w:b/>
                <w:sz w:val="20"/>
                <w:szCs w:val="20"/>
              </w:rPr>
              <w:t>ОСР/______________________________</w:t>
            </w:r>
          </w:p>
          <w:p>
            <w:pPr>
              <w:pStyle w:val="NormalWeb"/>
              <w:widowControl w:val="false"/>
              <w:spacing w:before="280" w:after="0"/>
              <w:jc w:val="center"/>
              <w:rPr>
                <w:b/>
                <w:bCs/>
                <w:sz w:val="20"/>
                <w:szCs w:val="20"/>
              </w:rPr>
            </w:pPr>
            <w:r>
              <w:rPr>
                <w:sz w:val="20"/>
                <w:szCs w:val="20"/>
              </w:rPr>
              <w:t>(інший ППКО*)</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38</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Детальні вихідні дані щодо параметрів електроустановок замовника:</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39</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sz w:val="20"/>
              </w:rPr>
              <w:t>У разі приєднання електроустановок, призначених для споживання електричної енергії:</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40</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t>Кількість точок приєднання (зазначається для багатоквартирних житлових будинків та/або житлових комплексів)</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41</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sz w:val="20"/>
                <w:szCs w:val="20"/>
              </w:rPr>
              <w:t>Відомості щодо встановленої потужності електроопалювальних та електронагрівальних установок, кухонних електроплит тощо</w:t>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sz w:val="20"/>
                <w:szCs w:val="20"/>
              </w:rPr>
              <w:t>Тип</w:t>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sz w:val="20"/>
                <w:szCs w:val="20"/>
              </w:rPr>
              <w:t>Потужність, кВт</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42</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sz w:val="20"/>
                <w:szCs w:val="20"/>
              </w:rPr>
              <w:t xml:space="preserve">Відомості щодо встановленої потужності генеруючих установок (існуючих або таких, що будуть встановлені) </w:t>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sz w:val="20"/>
                <w:szCs w:val="20"/>
              </w:rPr>
              <w:t>Тип</w:t>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sz w:val="20"/>
                <w:szCs w:val="20"/>
              </w:rPr>
              <w:t>Потужність, кВт</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43</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sz w:val="20"/>
                <w:szCs w:val="20"/>
              </w:rPr>
            </w:pPr>
            <w:r>
              <w:rPr>
                <w:sz w:val="20"/>
                <w:szCs w:val="20"/>
              </w:rPr>
              <w:t>Тип</w:t>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sz w:val="20"/>
                <w:szCs w:val="20"/>
              </w:rPr>
            </w:pPr>
            <w:r>
              <w:rPr>
                <w:sz w:val="20"/>
                <w:szCs w:val="20"/>
              </w:rPr>
              <w:t>Потужність, кВт</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44</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sz w:val="20"/>
                <w:szCs w:val="20"/>
              </w:rPr>
            </w:pPr>
            <w:r>
              <w:rPr>
                <w:b/>
                <w:sz w:val="20"/>
                <w:szCs w:val="20"/>
              </w:rPr>
              <w:t>Існуюча дозволена до відпуску в мережу електрична потужність активного споживача</w:t>
            </w:r>
            <w:r>
              <w:rPr>
                <w:b/>
                <w:sz w:val="20"/>
                <w:szCs w:val="20"/>
                <w:lang w:val="ru-RU"/>
              </w:rPr>
              <w:t>,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sz w:val="20"/>
                <w:szCs w:val="20"/>
              </w:rPr>
            </w:pPr>
            <w:r>
              <w:rPr>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45</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46</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2"/>
                <w:szCs w:val="20"/>
              </w:rPr>
            </w:pPr>
            <w:r>
              <w:rPr>
                <w:b/>
                <w:sz w:val="20"/>
              </w:rPr>
              <w:t>У разі приєднання електроустановок, призначених для виробництва електричної енергії:</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47</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Встановлена потужність генеруючої установки, кВт</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48</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Вид палива/енергії</w:t>
            </w:r>
          </w:p>
        </w:tc>
        <w:tc>
          <w:tcPr>
            <w:tcW w:w="7371" w:type="dxa"/>
            <w:gridSpan w:val="9"/>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49</w:t>
            </w:r>
          </w:p>
        </w:tc>
        <w:tc>
          <w:tcPr>
            <w:tcW w:w="3062" w:type="dxa"/>
            <w:gridSpan w:val="2"/>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3527"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sz w:val="20"/>
                <w:szCs w:val="20"/>
              </w:rPr>
              <w:t>Тип</w:t>
            </w:r>
          </w:p>
        </w:tc>
        <w:tc>
          <w:tcPr>
            <w:tcW w:w="3844"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sz w:val="20"/>
                <w:szCs w:val="20"/>
              </w:rPr>
              <w:t>Потужність, кВт</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50</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sz w:val="20"/>
              </w:rPr>
              <w:t>У разі приєднання електроустановок, призначених для зберігання енергії:</w:t>
            </w:r>
          </w:p>
        </w:tc>
      </w:tr>
      <w:tr>
        <w:trPr/>
        <w:tc>
          <w:tcPr>
            <w:tcW w:w="33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51</w:t>
            </w:r>
          </w:p>
        </w:tc>
        <w:tc>
          <w:tcPr>
            <w:tcW w:w="3062" w:type="dxa"/>
            <w:gridSpan w:val="2"/>
            <w:vMerge w:val="restart"/>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Параметри УЗЕ (для операторів УЗЕ)</w:t>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center"/>
              <w:rPr>
                <w:b/>
                <w:bCs/>
                <w:sz w:val="20"/>
                <w:szCs w:val="20"/>
              </w:rPr>
            </w:pPr>
            <w:r>
              <w:rPr>
                <w:b/>
                <w:bCs/>
                <w:sz w:val="20"/>
                <w:szCs w:val="20"/>
              </w:rPr>
              <w:t>Максимальна потужність відбору, кВт</w:t>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280"/>
              <w:jc w:val="center"/>
              <w:rPr>
                <w:b/>
                <w:bCs/>
                <w:sz w:val="20"/>
                <w:szCs w:val="20"/>
              </w:rPr>
            </w:pPr>
            <w:r>
              <w:rPr>
                <w:b/>
                <w:bCs/>
                <w:sz w:val="20"/>
                <w:szCs w:val="20"/>
              </w:rPr>
              <w:t>Максимальна потужність відпуску, кВт</w:t>
            </w:r>
          </w:p>
          <w:p>
            <w:pPr>
              <w:pStyle w:val="NormalWeb"/>
              <w:widowControl w:val="false"/>
              <w:spacing w:before="280" w:after="0"/>
              <w:rPr>
                <w:b/>
                <w:bCs/>
                <w:sz w:val="20"/>
                <w:szCs w:val="20"/>
              </w:rPr>
            </w:pPr>
            <w:r>
              <w:rPr>
                <w:b/>
                <w:bCs/>
                <w:sz w:val="20"/>
                <w:szCs w:val="20"/>
              </w:rPr>
            </w:r>
          </w:p>
        </w:tc>
      </w:tr>
      <w:tr>
        <w:trPr/>
        <w:tc>
          <w:tcPr>
            <w:tcW w:w="33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r>
          </w:p>
        </w:tc>
        <w:tc>
          <w:tcPr>
            <w:tcW w:w="3062" w:type="dxa"/>
            <w:gridSpan w:val="2"/>
            <w:vMerge w:val="continue"/>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r>
          </w:p>
        </w:tc>
        <w:tc>
          <w:tcPr>
            <w:tcW w:w="3685" w:type="dxa"/>
            <w:gridSpan w:val="5"/>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r>
          </w:p>
        </w:tc>
        <w:tc>
          <w:tcPr>
            <w:tcW w:w="3686"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52</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rPr>
                <w:b/>
                <w:sz w:val="20"/>
                <w:szCs w:val="20"/>
              </w:rPr>
            </w:pPr>
            <w:r>
              <w:rPr>
                <w:b/>
                <w:sz w:val="20"/>
                <w:szCs w:val="20"/>
              </w:rPr>
              <w:t>Контактні дані:</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53</w:t>
            </w:r>
          </w:p>
        </w:tc>
        <w:tc>
          <w:tcPr>
            <w:tcW w:w="4904"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rPr>
            </w:pPr>
            <w:r>
              <w:rPr>
                <w:b/>
                <w:bCs/>
                <w:sz w:val="20"/>
                <w:szCs w:val="20"/>
              </w:rPr>
              <w:t>Е</w:t>
            </w:r>
            <w:r>
              <w:rPr>
                <w:b/>
                <w:sz w:val="20"/>
                <w:szCs w:val="20"/>
              </w:rPr>
              <w:t>лектронна а</w:t>
            </w:r>
            <w:r>
              <w:rPr>
                <w:b/>
                <w:bCs/>
                <w:sz w:val="20"/>
                <w:szCs w:val="20"/>
              </w:rPr>
              <w:t>дреса для листування</w:t>
            </w:r>
          </w:p>
        </w:tc>
        <w:tc>
          <w:tcPr>
            <w:tcW w:w="5529" w:type="dxa"/>
            <w:gridSpan w:val="7"/>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54</w:t>
            </w:r>
          </w:p>
        </w:tc>
        <w:tc>
          <w:tcPr>
            <w:tcW w:w="4904"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bCs/>
                <w:sz w:val="20"/>
                <w:szCs w:val="20"/>
              </w:rPr>
            </w:pPr>
            <w:r>
              <w:rPr>
                <w:b/>
                <w:bCs/>
                <w:sz w:val="20"/>
                <w:szCs w:val="20"/>
              </w:rPr>
              <w:t>Номер телефону</w:t>
            </w:r>
          </w:p>
        </w:tc>
        <w:tc>
          <w:tcPr>
            <w:tcW w:w="5529" w:type="dxa"/>
            <w:gridSpan w:val="7"/>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sz w:val="20"/>
                <w:szCs w:val="20"/>
              </w:rPr>
            </w:pPr>
            <w:r>
              <w:rPr>
                <w:sz w:val="20"/>
                <w:szCs w:val="20"/>
              </w:rPr>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55</w:t>
            </w:r>
          </w:p>
        </w:tc>
        <w:tc>
          <w:tcPr>
            <w:tcW w:w="4904"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b/>
              </w:rPr>
            </w:pPr>
            <w:r>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Pr>
                <w:b/>
                <w:sz w:val="20"/>
                <w:szCs w:val="20"/>
              </w:rPr>
              <w:t>(вказати поштову а</w:t>
            </w:r>
            <w:r>
              <w:rPr>
                <w:b/>
                <w:bCs/>
                <w:sz w:val="20"/>
                <w:szCs w:val="20"/>
              </w:rPr>
              <w:t>дресу для листування</w:t>
            </w:r>
            <w:r>
              <w:rPr>
                <w:b/>
                <w:sz w:val="20"/>
                <w:szCs w:val="20"/>
              </w:rPr>
              <w:t>)</w:t>
            </w:r>
          </w:p>
        </w:tc>
        <w:tc>
          <w:tcPr>
            <w:tcW w:w="5529" w:type="dxa"/>
            <w:gridSpan w:val="7"/>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56</w:t>
            </w:r>
          </w:p>
        </w:tc>
        <w:tc>
          <w:tcPr>
            <w:tcW w:w="4904" w:type="dxa"/>
            <w:gridSpan w:val="4"/>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b/>
                <w:bCs/>
                <w:sz w:val="20"/>
                <w:szCs w:val="20"/>
              </w:rPr>
              <w:t>Інше</w:t>
            </w:r>
          </w:p>
        </w:tc>
        <w:tc>
          <w:tcPr>
            <w:tcW w:w="5529" w:type="dxa"/>
            <w:gridSpan w:val="7"/>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rPr/>
            </w:pPr>
            <w:r>
              <w:rPr>
                <w:sz w:val="20"/>
                <w:szCs w:val="20"/>
              </w:rPr>
              <w:t> </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57</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0" w:after="0"/>
              <w:jc w:val="both"/>
              <w:rPr/>
            </w:pPr>
            <w:r>
              <w:rPr>
                <w:b/>
                <w:bCs/>
                <w:sz w:val="20"/>
                <w:szCs w:val="20"/>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trPr/>
        <w:tc>
          <w:tcPr>
            <w:tcW w:w="334"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58</w:t>
            </w:r>
          </w:p>
        </w:tc>
        <w:tc>
          <w:tcPr>
            <w:tcW w:w="10433" w:type="dxa"/>
            <w:gridSpan w:val="11"/>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Autospacing="0" w:after="0"/>
              <w:jc w:val="both"/>
              <w:rPr>
                <w:sz w:val="20"/>
                <w:szCs w:val="20"/>
              </w:rPr>
            </w:pPr>
            <w:r>
              <w:rPr>
                <w:b/>
                <w:bCs/>
                <w:sz w:val="20"/>
                <w:szCs w:val="20"/>
              </w:rPr>
              <w:t>До заяви про приєднання додаються документи:</w:t>
            </w:r>
          </w:p>
          <w:p>
            <w:pPr>
              <w:pStyle w:val="NormalWeb"/>
              <w:widowControl w:val="false"/>
              <w:spacing w:beforeAutospacing="0" w:before="0" w:afterAutospacing="0" w:after="0"/>
              <w:jc w:val="both"/>
              <w:rPr>
                <w:sz w:val="20"/>
                <w:szCs w:val="20"/>
              </w:rPr>
            </w:pPr>
            <w:r>
              <w:rPr>
                <w:sz w:val="20"/>
                <w:szCs w:val="20"/>
              </w:rPr>
              <w:t xml:space="preserve">1) копія паспорта у разі відсутності унікального номера запису в Єдиному державному демографічному реєстрі </w:t>
            </w:r>
            <w:r>
              <w:rPr>
                <w:bCs/>
                <w:sz w:val="20"/>
                <w:szCs w:val="20"/>
              </w:rPr>
              <w:t>(для фізичних осіб)</w:t>
            </w:r>
            <w:r>
              <w:rPr>
                <w:sz w:val="20"/>
                <w:szCs w:val="20"/>
              </w:rPr>
              <w:t>;</w:t>
            </w:r>
          </w:p>
          <w:p>
            <w:pPr>
              <w:pStyle w:val="NormalWeb"/>
              <w:widowControl w:val="false"/>
              <w:spacing w:beforeAutospacing="0" w:before="0" w:afterAutospacing="0" w:after="0"/>
              <w:jc w:val="both"/>
              <w:rPr>
                <w:sz w:val="20"/>
                <w:szCs w:val="20"/>
              </w:rPr>
            </w:pPr>
            <w:r>
              <w:rPr>
                <w:sz w:val="20"/>
                <w:szCs w:val="20"/>
              </w:rPr>
              <w:t>2) належним чином оформлений документ, що посвідчує право на представництво інтересів особи у випадку подання заяви представником;</w:t>
            </w:r>
          </w:p>
          <w:p>
            <w:pPr>
              <w:pStyle w:val="NormalWeb"/>
              <w:widowControl w:val="false"/>
              <w:spacing w:beforeAutospacing="0" w:before="0" w:afterAutospacing="0" w:after="0"/>
              <w:jc w:val="both"/>
              <w:rPr>
                <w:sz w:val="20"/>
                <w:szCs w:val="20"/>
              </w:rPr>
            </w:pPr>
            <w:r>
              <w:rPr>
                <w:sz w:val="20"/>
                <w:szCs w:val="20"/>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pPr>
              <w:pStyle w:val="NormalWeb"/>
              <w:widowControl w:val="false"/>
              <w:spacing w:beforeAutospacing="0" w:before="0" w:afterAutospacing="0" w:after="0"/>
              <w:jc w:val="both"/>
              <w:rPr>
                <w:sz w:val="20"/>
                <w:szCs w:val="20"/>
              </w:rPr>
            </w:pPr>
            <w:r>
              <w:rPr>
                <w:sz w:val="20"/>
                <w:szCs w:val="20"/>
              </w:rPr>
              <w:t>4)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pPr>
              <w:pStyle w:val="NormalWeb"/>
              <w:widowControl w:val="false"/>
              <w:spacing w:beforeAutospacing="0" w:before="0" w:afterAutospacing="0" w:after="0"/>
              <w:jc w:val="both"/>
              <w:rPr>
                <w:sz w:val="20"/>
                <w:szCs w:val="20"/>
              </w:rPr>
            </w:pPr>
            <w:r>
              <w:rPr>
                <w:sz w:val="20"/>
                <w:szCs w:val="20"/>
              </w:rPr>
              <w:t>5) ТЕО (у визначених цим Кодексом випадках, в інших випадках – за наявності);</w:t>
            </w:r>
          </w:p>
          <w:p>
            <w:pPr>
              <w:pStyle w:val="NormalWeb"/>
              <w:widowControl w:val="false"/>
              <w:spacing w:beforeAutospacing="0" w:before="0" w:afterAutospacing="0" w:after="0"/>
              <w:jc w:val="both"/>
              <w:rPr>
                <w:sz w:val="20"/>
                <w:szCs w:val="20"/>
              </w:rPr>
            </w:pPr>
            <w:r>
              <w:rPr>
                <w:sz w:val="20"/>
                <w:szCs w:val="20"/>
              </w:rPr>
              <w:t>6) розрахунок навантаження об’єкта архітектури за підписом головного інженера-проєктувальника (у разі приєднання багатоквартирного житлового будинку або збільшення його потужності);</w:t>
            </w:r>
          </w:p>
          <w:p>
            <w:pPr>
              <w:pStyle w:val="NormalWeb"/>
              <w:widowControl w:val="false"/>
              <w:spacing w:beforeAutospacing="0" w:before="0" w:afterAutospacing="0" w:after="0"/>
              <w:jc w:val="both"/>
              <w:rPr>
                <w:sz w:val="20"/>
                <w:szCs w:val="20"/>
              </w:rPr>
            </w:pPr>
            <w:r>
              <w:rPr>
                <w:sz w:val="20"/>
                <w:szCs w:val="20"/>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pPr>
              <w:pStyle w:val="NormalWeb"/>
              <w:widowControl w:val="false"/>
              <w:spacing w:beforeAutospacing="0" w:before="0" w:afterAutospacing="0" w:after="0"/>
              <w:jc w:val="both"/>
              <w:rPr>
                <w:sz w:val="20"/>
                <w:szCs w:val="20"/>
              </w:rPr>
            </w:pPr>
            <w:r>
              <w:rPr>
                <w:b/>
                <w:bCs/>
                <w:sz w:val="20"/>
                <w:szCs w:val="20"/>
              </w:rPr>
              <w:t>У разі приєднання фотоелектричної станції/УЗЕ/електрозарядної станції, що розташована на/в об'єкті архітектури (дах, фасад тощо), технічних засобів телекомунікації на об'єкті архітектури,</w:t>
            </w:r>
            <w:r>
              <w:rPr>
                <w:sz w:val="20"/>
                <w:szCs w:val="20"/>
              </w:rPr>
              <w:t xml:space="preserve"> </w:t>
            </w:r>
            <w:r>
              <w:rPr>
                <w:b/>
                <w:bCs/>
                <w:sz w:val="20"/>
                <w:szCs w:val="20"/>
              </w:rPr>
              <w:t>до заяви про приєднання додаються</w:t>
            </w:r>
            <w:r>
              <w:rPr>
                <w:sz w:val="20"/>
                <w:szCs w:val="20"/>
              </w:rPr>
              <w:t>:</w:t>
            </w:r>
          </w:p>
          <w:p>
            <w:pPr>
              <w:pStyle w:val="NormalWeb"/>
              <w:widowControl w:val="false"/>
              <w:spacing w:beforeAutospacing="0" w:before="0" w:afterAutospacing="0" w:after="0"/>
              <w:jc w:val="both"/>
              <w:rPr>
                <w:sz w:val="20"/>
                <w:szCs w:val="20"/>
              </w:rPr>
            </w:pPr>
            <w:r>
              <w:rPr>
                <w:sz w:val="20"/>
                <w:szCs w:val="20"/>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pPr>
              <w:pStyle w:val="NormalWeb"/>
              <w:widowControl w:val="false"/>
              <w:spacing w:beforeAutospacing="0" w:before="0" w:afterAutospacing="0" w:after="0"/>
              <w:jc w:val="both"/>
              <w:rPr>
                <w:sz w:val="20"/>
                <w:szCs w:val="20"/>
              </w:rPr>
            </w:pPr>
            <w:r>
              <w:rPr>
                <w:sz w:val="20"/>
                <w:szCs w:val="20"/>
              </w:rPr>
              <w:t>2) копія договору з доступу (у випадку приєднання технічних засобів телекомунікації відповідно до Закону України «Про доступ до об'єктів будівництва, транспорту, електроенергетики з метою розвитку телекомунікаційних мереж»);</w:t>
            </w:r>
          </w:p>
          <w:p>
            <w:pPr>
              <w:pStyle w:val="NormalWeb"/>
              <w:widowControl w:val="false"/>
              <w:spacing w:beforeAutospacing="0" w:before="0" w:afterAutospacing="0" w:after="0"/>
              <w:jc w:val="both"/>
              <w:rPr>
                <w:sz w:val="20"/>
                <w:szCs w:val="20"/>
              </w:rPr>
            </w:pPr>
            <w:r>
              <w:rPr>
                <w:sz w:val="20"/>
                <w:szCs w:val="20"/>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pPr>
              <w:pStyle w:val="NormalWeb"/>
              <w:widowControl w:val="false"/>
              <w:spacing w:beforeAutospacing="0" w:before="0" w:afterAutospacing="0" w:after="0"/>
              <w:jc w:val="both"/>
              <w:rPr>
                <w:sz w:val="20"/>
                <w:szCs w:val="20"/>
              </w:rPr>
            </w:pPr>
            <w:r>
              <w:rPr>
                <w:sz w:val="20"/>
                <w:szCs w:val="20"/>
              </w:rPr>
              <w:t xml:space="preserve">4) 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телекомунікації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 </w:t>
            </w:r>
          </w:p>
          <w:p>
            <w:pPr>
              <w:pStyle w:val="NormalWeb"/>
              <w:widowControl w:val="false"/>
              <w:spacing w:beforeAutospacing="0" w:before="0" w:afterAutospacing="0" w:after="0"/>
              <w:jc w:val="both"/>
              <w:rPr>
                <w:b/>
                <w:bCs/>
                <w:sz w:val="20"/>
                <w:szCs w:val="20"/>
              </w:rPr>
            </w:pPr>
            <w:r>
              <w:rPr>
                <w:b/>
                <w:bCs/>
                <w:sz w:val="20"/>
                <w:szCs w:val="20"/>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pPr>
              <w:pStyle w:val="NormalWeb"/>
              <w:widowControl w:val="false"/>
              <w:spacing w:beforeAutospacing="0" w:before="0" w:afterAutospacing="0" w:after="0"/>
              <w:jc w:val="both"/>
              <w:rPr>
                <w:bCs/>
                <w:sz w:val="20"/>
                <w:szCs w:val="20"/>
              </w:rPr>
            </w:pPr>
            <w:r>
              <w:rPr>
                <w:bCs/>
                <w:sz w:val="20"/>
                <w:szCs w:val="20"/>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pPr>
              <w:pStyle w:val="NormalWeb"/>
              <w:widowControl w:val="false"/>
              <w:spacing w:beforeAutospacing="0" w:before="0" w:afterAutospacing="0" w:after="0"/>
              <w:jc w:val="both"/>
              <w:rPr>
                <w:bCs/>
                <w:sz w:val="20"/>
                <w:szCs w:val="20"/>
              </w:rPr>
            </w:pPr>
            <w:r>
              <w:rPr>
                <w:bCs/>
                <w:sz w:val="20"/>
                <w:szCs w:val="20"/>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pPr>
              <w:pStyle w:val="NormalWeb"/>
              <w:widowControl w:val="false"/>
              <w:spacing w:beforeAutospacing="0" w:before="0" w:afterAutospacing="0" w:after="0"/>
              <w:jc w:val="both"/>
              <w:rPr>
                <w:bCs/>
                <w:sz w:val="20"/>
                <w:szCs w:val="20"/>
              </w:rPr>
            </w:pPr>
            <w:r>
              <w:rPr>
                <w:bCs/>
                <w:sz w:val="20"/>
                <w:szCs w:val="20"/>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pPr>
              <w:pStyle w:val="NormalWeb"/>
              <w:widowControl w:val="false"/>
              <w:spacing w:beforeAutospacing="0" w:before="0" w:afterAutospacing="0" w:after="0"/>
              <w:jc w:val="both"/>
              <w:rPr>
                <w:b/>
                <w:bCs/>
                <w:sz w:val="20"/>
                <w:szCs w:val="20"/>
              </w:rPr>
            </w:pPr>
            <w:r>
              <w:rPr>
                <w:b/>
                <w:bCs/>
                <w:sz w:val="20"/>
                <w:szCs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Pr>
                <w:bCs/>
                <w:sz w:val="20"/>
                <w:szCs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pPr>
              <w:pStyle w:val="NormalWeb"/>
              <w:widowControl w:val="false"/>
              <w:spacing w:beforeAutospacing="0" w:before="0" w:afterAutospacing="0" w:after="0"/>
              <w:jc w:val="both"/>
              <w:rPr>
                <w:sz w:val="20"/>
                <w:szCs w:val="20"/>
              </w:rPr>
            </w:pPr>
            <w:r>
              <w:rPr>
                <w:b/>
                <w:bCs/>
                <w:sz w:val="20"/>
                <w:szCs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Pr>
                <w:sz w:val="20"/>
                <w:szCs w:val="20"/>
              </w:rPr>
              <w:t>, 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w:t>
            </w:r>
          </w:p>
          <w:p>
            <w:pPr>
              <w:pStyle w:val="NormalWeb"/>
              <w:widowControl w:val="false"/>
              <w:spacing w:before="280" w:after="280"/>
              <w:jc w:val="both"/>
              <w:rPr>
                <w:sz w:val="20"/>
                <w:szCs w:val="20"/>
              </w:rPr>
            </w:pPr>
            <w:r>
              <w:rPr>
                <w:sz w:val="20"/>
                <w:szCs w:val="20"/>
              </w:rPr>
              <w:t>Відповідальність за достовірність даних, наданих у заяві, несе заявник.</w:t>
            </w:r>
          </w:p>
          <w:p>
            <w:pPr>
              <w:pStyle w:val="NormalWeb"/>
              <w:widowControl w:val="false"/>
              <w:spacing w:before="280" w:after="280"/>
              <w:jc w:val="both"/>
              <w:rPr>
                <w:sz w:val="20"/>
                <w:szCs w:val="20"/>
              </w:rPr>
            </w:pPr>
            <w:r>
              <w:rPr>
                <w:sz w:val="20"/>
                <w:szCs w:val="20"/>
              </w:rPr>
              <w:t>Достовірність наданих даних підтверджую</w:t>
            </w:r>
          </w:p>
          <w:p>
            <w:pPr>
              <w:pStyle w:val="NormalWeb"/>
              <w:widowControl w:val="false"/>
              <w:spacing w:before="280" w:after="280"/>
              <w:rPr>
                <w:sz w:val="20"/>
                <w:szCs w:val="20"/>
              </w:rPr>
            </w:pPr>
            <w:r>
              <w:rPr>
                <w:sz w:val="20"/>
                <w:szCs w:val="20"/>
              </w:rPr>
              <w:t>                                                                              </w:t>
            </w:r>
            <w:r>
              <w:rPr>
                <w:sz w:val="20"/>
                <w:szCs w:val="20"/>
              </w:rPr>
              <w:t>_______________________</w:t>
            </w:r>
            <w:r>
              <w:rPr>
                <w:sz w:val="20"/>
                <w:szCs w:val="20"/>
                <w:lang w:val="ru-RU"/>
              </w:rPr>
              <w:t xml:space="preserve">        </w:t>
            </w:r>
            <w:r>
              <w:rPr>
                <w:sz w:val="20"/>
                <w:szCs w:val="20"/>
              </w:rPr>
              <w:t xml:space="preserve"> ____________</w:t>
              <w:br/>
              <w:t>                                                                                                  (дата)                              (підпис)</w:t>
            </w:r>
          </w:p>
          <w:p>
            <w:pPr>
              <w:pStyle w:val="NormalWeb"/>
              <w:widowControl w:val="false"/>
              <w:spacing w:before="280" w:after="280"/>
              <w:jc w:val="both"/>
              <w:rPr>
                <w:sz w:val="20"/>
                <w:szCs w:val="20"/>
              </w:rPr>
            </w:pPr>
            <w:r>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w:t>
            </w:r>
            <w:bookmarkStart w:id="0" w:name="_GoBack"/>
            <w:bookmarkEnd w:id="0"/>
            <w:r>
              <w:rPr>
                <w:i/>
                <w:iCs/>
                <w:sz w:val="20"/>
                <w:szCs w:val="20"/>
              </w:rPr>
              <w:t>існих та/або вартісних обсягів, наданих за Договором послуг.</w:t>
            </w:r>
          </w:p>
          <w:p>
            <w:pPr>
              <w:pStyle w:val="NormalWeb"/>
              <w:widowControl w:val="false"/>
              <w:spacing w:before="280" w:after="0"/>
              <w:rPr/>
            </w:pPr>
            <w:r>
              <w:rPr>
                <w:sz w:val="20"/>
                <w:szCs w:val="20"/>
              </w:rPr>
              <w:t>                                                                                                                                                          </w:t>
            </w:r>
            <w:r>
              <w:rPr>
                <w:sz w:val="20"/>
                <w:szCs w:val="20"/>
              </w:rPr>
              <w:t>______________________</w:t>
              <w:br/>
              <w:t>                                                                                                                                                                              (підпис)</w:t>
            </w:r>
          </w:p>
        </w:tc>
      </w:tr>
    </w:tbl>
    <w:p>
      <w:pPr>
        <w:pStyle w:val="Normal"/>
        <w:jc w:val="both"/>
        <w:rPr>
          <w:color w:val="808080" w:themeColor="background1" w:themeShade="80"/>
        </w:rPr>
      </w:pPr>
      <w:r>
        <w:rPr>
          <w:color w:val="808080" w:themeColor="background1" w:themeShade="80"/>
        </w:rPr>
      </w:r>
    </w:p>
    <w:sectPr>
      <w:type w:val="nextPage"/>
      <w:pgSz w:w="11906" w:h="16838"/>
      <w:pgMar w:left="567" w:right="424" w:gutter="0" w:header="0" w:top="426" w:footer="0" w:bottom="28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0aee"/>
    <w:pPr>
      <w:widowControl/>
      <w:bidi w:val="0"/>
      <w:spacing w:lineRule="auto" w:line="240" w:before="0" w:after="0"/>
      <w:jc w:val="left"/>
    </w:pPr>
    <w:rPr>
      <w:rFonts w:ascii="Times New Roman" w:hAnsi="Times New Roman" w:eastAsia="" w:cs="Times New Roman" w:eastAsiaTheme="minorEastAsia"/>
      <w:color w:val="auto"/>
      <w:kern w:val="0"/>
      <w:sz w:val="24"/>
      <w:szCs w:val="24"/>
      <w:lang w:eastAsia="uk-UA" w:val="uk-UA" w:bidi="ar-SA"/>
    </w:rPr>
  </w:style>
  <w:style w:type="paragraph" w:styleId="Heading3">
    <w:name w:val="Heading 3"/>
    <w:basedOn w:val="Normal"/>
    <w:link w:val="3"/>
    <w:uiPriority w:val="9"/>
    <w:qFormat/>
    <w:rsid w:val="00b40aee"/>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link w:val="Heading3"/>
    <w:uiPriority w:val="9"/>
    <w:qFormat/>
    <w:rsid w:val="00b40aee"/>
    <w:rPr>
      <w:rFonts w:ascii="Times New Roman" w:hAnsi="Times New Roman" w:eastAsia="" w:cs="Times New Roman" w:eastAsiaTheme="minorEastAsia"/>
      <w:b/>
      <w:bCs/>
      <w:sz w:val="27"/>
      <w:szCs w:val="27"/>
      <w:lang w:eastAsia="uk-UA"/>
    </w:rPr>
  </w:style>
  <w:style w:type="character" w:styleId="Style13" w:customStyle="1">
    <w:name w:val="Верхний колонтитул Знак"/>
    <w:basedOn w:val="DefaultParagraphFont"/>
    <w:link w:val="Header"/>
    <w:uiPriority w:val="99"/>
    <w:qFormat/>
    <w:rsid w:val="00cc1a0d"/>
    <w:rPr>
      <w:rFonts w:ascii="Times New Roman" w:hAnsi="Times New Roman" w:eastAsia="" w:cs="Times New Roman" w:eastAsiaTheme="minorEastAsia"/>
      <w:sz w:val="24"/>
      <w:szCs w:val="24"/>
      <w:lang w:eastAsia="uk-UA"/>
    </w:rPr>
  </w:style>
  <w:style w:type="character" w:styleId="Style14" w:customStyle="1">
    <w:name w:val="Нижний колонтитул Знак"/>
    <w:basedOn w:val="DefaultParagraphFont"/>
    <w:link w:val="Footer"/>
    <w:uiPriority w:val="99"/>
    <w:qFormat/>
    <w:rsid w:val="00cc1a0d"/>
    <w:rPr>
      <w:rFonts w:ascii="Times New Roman" w:hAnsi="Times New Roman" w:eastAsia="" w:cs="Times New Roman" w:eastAsiaTheme="minorEastAsia"/>
      <w:sz w:val="24"/>
      <w:szCs w:val="24"/>
      <w:lang w:eastAsia="uk-UA"/>
    </w:rPr>
  </w:style>
  <w:style w:type="character" w:styleId="Rvts0" w:customStyle="1">
    <w:name w:val="rvts0"/>
    <w:basedOn w:val="DefaultParagraphFont"/>
    <w:qFormat/>
    <w:rsid w:val="005a7ed7"/>
    <w:rPr/>
  </w:style>
  <w:style w:type="character" w:styleId="Xfm68768843" w:customStyle="1">
    <w:name w:val="xfm_68768843"/>
    <w:basedOn w:val="DefaultParagraphFont"/>
    <w:qFormat/>
    <w:rsid w:val="00bd736c"/>
    <w:rPr/>
  </w:style>
  <w:style w:type="character" w:styleId="Rvts23" w:customStyle="1">
    <w:name w:val="rvts23"/>
    <w:qFormat/>
    <w:rsid w:val="00f4347e"/>
    <w:rPr/>
  </w:style>
  <w:style w:type="character" w:styleId="InternetLink">
    <w:name w:val="Hyperlink"/>
    <w:basedOn w:val="DefaultParagraphFont"/>
    <w:uiPriority w:val="99"/>
    <w:unhideWhenUsed/>
    <w:rsid w:val="00f4347e"/>
    <w:rPr>
      <w:color w:val="0000FF"/>
      <w:u w:val="single"/>
    </w:rPr>
  </w:style>
  <w:style w:type="character" w:styleId="Style15" w:customStyle="1">
    <w:name w:val="Обычный (веб) Знак"/>
    <w:link w:val="NormalWeb"/>
    <w:qFormat/>
    <w:locked/>
    <w:rsid w:val="00f4347e"/>
    <w:rPr>
      <w:rFonts w:ascii="Times New Roman" w:hAnsi="Times New Roman" w:eastAsia="" w:cs="Times New Roman" w:eastAsiaTheme="minorEastAsia"/>
      <w:sz w:val="24"/>
      <w:szCs w:val="24"/>
      <w:lang w:eastAsia="uk-UA"/>
    </w:rPr>
  </w:style>
  <w:style w:type="character" w:styleId="St121" w:customStyle="1">
    <w:name w:val="st121"/>
    <w:uiPriority w:val="99"/>
    <w:qFormat/>
    <w:rsid w:val="009c663f"/>
    <w:rPr>
      <w:i/>
      <w:iCs/>
      <w:color w:val="000000"/>
    </w:rPr>
  </w:style>
  <w:style w:type="character" w:styleId="St131" w:customStyle="1">
    <w:name w:val="st131"/>
    <w:uiPriority w:val="99"/>
    <w:qFormat/>
    <w:rsid w:val="009c663f"/>
    <w:rPr>
      <w:i/>
      <w:iCs/>
      <w:color w:val="0000FF"/>
    </w:rPr>
  </w:style>
  <w:style w:type="character" w:styleId="St46" w:customStyle="1">
    <w:name w:val="st46"/>
    <w:uiPriority w:val="99"/>
    <w:qFormat/>
    <w:rsid w:val="009c663f"/>
    <w:rPr>
      <w:i/>
      <w:iCs/>
      <w:color w:val="000000"/>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NormalWeb">
    <w:name w:val="Normal (Web)"/>
    <w:basedOn w:val="Normal"/>
    <w:link w:val="Style15"/>
    <w:uiPriority w:val="99"/>
    <w:unhideWhenUsed/>
    <w:qFormat/>
    <w:rsid w:val="00b40aee"/>
    <w:pPr>
      <w:spacing w:beforeAutospacing="1" w:afterAutospacing="1"/>
    </w:pPr>
    <w:rPr/>
  </w:style>
  <w:style w:type="paragraph" w:styleId="HeaderandFooter">
    <w:name w:val="Header and Footer"/>
    <w:basedOn w:val="Normal"/>
    <w:qFormat/>
    <w:pPr/>
    <w:rPr/>
  </w:style>
  <w:style w:type="paragraph" w:styleId="Header">
    <w:name w:val="Header"/>
    <w:basedOn w:val="Normal"/>
    <w:link w:val="Style13"/>
    <w:uiPriority w:val="99"/>
    <w:unhideWhenUsed/>
    <w:rsid w:val="00cc1a0d"/>
    <w:pPr>
      <w:tabs>
        <w:tab w:val="clear" w:pos="708"/>
        <w:tab w:val="center" w:pos="4819" w:leader="none"/>
        <w:tab w:val="right" w:pos="9639" w:leader="none"/>
      </w:tabs>
    </w:pPr>
    <w:rPr/>
  </w:style>
  <w:style w:type="paragraph" w:styleId="Footer">
    <w:name w:val="Footer"/>
    <w:basedOn w:val="Normal"/>
    <w:link w:val="Style14"/>
    <w:uiPriority w:val="99"/>
    <w:unhideWhenUsed/>
    <w:rsid w:val="00cc1a0d"/>
    <w:pPr>
      <w:tabs>
        <w:tab w:val="clear" w:pos="708"/>
        <w:tab w:val="center" w:pos="4819" w:leader="none"/>
        <w:tab w:val="right" w:pos="9639"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a.energy/uchasnikam_rinku/administrator-komertsijnogo-obliku/reyestr-ppko-ta-protsedura-yih-reyestratsiyi/"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LibreOffice/7.5.9.2$Linux_X86_64 LibreOffice_project/50$Build-2</Application>
  <AppVersion>15.0000</AppVersion>
  <Pages>5</Pages>
  <Words>1281</Words>
  <Characters>9302</Characters>
  <CharactersWithSpaces>11013</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2024-01-23T10:14:00Z</dcterms:created>
  <dc:creator/>
  <dc:description/>
  <dc:language>ru-RU</dc:language>
  <cp:lastModifiedBy/>
  <dcterms:modified xsi:type="dcterms:W3CDTF">2024-01-25T07:30:00Z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