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D7" w:rsidRPr="003870DB" w:rsidRDefault="00EC67CD" w:rsidP="00603AE9"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  <w:t xml:space="preserve"> Додаток </w:t>
      </w:r>
      <w:r w:rsidR="00692FDF" w:rsidRPr="003870DB">
        <w:t>3</w:t>
      </w:r>
      <w:r w:rsidRPr="003870DB">
        <w:tab/>
      </w:r>
    </w:p>
    <w:p w:rsidR="006021C4" w:rsidRPr="003870DB" w:rsidRDefault="00953AB9" w:rsidP="00603AE9">
      <w:pPr>
        <w:ind w:left="5664"/>
        <w:jc w:val="both"/>
        <w:rPr>
          <w:lang w:val="uk-UA"/>
        </w:rPr>
      </w:pPr>
      <w:r w:rsidRPr="003870DB">
        <w:rPr>
          <w:lang w:val="uk-UA"/>
        </w:rPr>
        <w:t xml:space="preserve"> </w:t>
      </w:r>
      <w:r w:rsidR="00C95ED7" w:rsidRPr="003870DB">
        <w:rPr>
          <w:lang w:val="uk-UA"/>
        </w:rPr>
        <w:t>д</w:t>
      </w:r>
      <w:r w:rsidR="00C95ED7" w:rsidRPr="003870DB">
        <w:rPr>
          <w:rFonts w:hint="eastAsia"/>
          <w:lang w:val="uk-UA"/>
        </w:rPr>
        <w:t>о</w:t>
      </w:r>
      <w:r w:rsidR="00C95ED7" w:rsidRPr="003870DB">
        <w:rPr>
          <w:lang w:val="uk-UA"/>
        </w:rPr>
        <w:t xml:space="preserve"> </w:t>
      </w:r>
      <w:r w:rsidR="00C95ED7" w:rsidRPr="003870DB">
        <w:rPr>
          <w:rFonts w:hint="eastAsia"/>
          <w:lang w:val="uk-UA"/>
        </w:rPr>
        <w:t>договору</w:t>
      </w:r>
      <w:r w:rsidR="00C95ED7" w:rsidRPr="003870DB">
        <w:rPr>
          <w:lang w:val="uk-UA"/>
        </w:rPr>
        <w:t xml:space="preserve"> </w:t>
      </w:r>
      <w:proofErr w:type="spellStart"/>
      <w:r w:rsidR="00C95ED7" w:rsidRPr="003870DB">
        <w:rPr>
          <w:lang w:val="uk-UA"/>
        </w:rPr>
        <w:t>електропостачальника</w:t>
      </w:r>
      <w:proofErr w:type="spellEnd"/>
      <w:r w:rsidR="00C95ED7" w:rsidRPr="003870DB">
        <w:rPr>
          <w:lang w:val="uk-UA"/>
        </w:rPr>
        <w:t xml:space="preserve"> </w:t>
      </w:r>
    </w:p>
    <w:p w:rsidR="00C95ED7" w:rsidRPr="003870DB" w:rsidRDefault="00953AB9" w:rsidP="00603AE9">
      <w:pPr>
        <w:ind w:left="4956" w:firstLine="708"/>
        <w:jc w:val="both"/>
        <w:rPr>
          <w:lang w:val="uk-UA"/>
        </w:rPr>
      </w:pPr>
      <w:r w:rsidRPr="003870DB">
        <w:rPr>
          <w:lang w:val="uk-UA"/>
        </w:rPr>
        <w:t xml:space="preserve"> </w:t>
      </w:r>
      <w:r w:rsidR="00C95ED7" w:rsidRPr="003870DB">
        <w:rPr>
          <w:lang w:val="uk-UA"/>
        </w:rPr>
        <w:t xml:space="preserve">про надання послуг з розподілу </w:t>
      </w:r>
    </w:p>
    <w:p w:rsidR="00C95ED7" w:rsidRPr="003870DB" w:rsidRDefault="00953AB9" w:rsidP="00603AE9">
      <w:pPr>
        <w:ind w:left="4956" w:firstLine="708"/>
        <w:jc w:val="both"/>
        <w:rPr>
          <w:lang w:val="uk-UA"/>
        </w:rPr>
      </w:pPr>
      <w:r w:rsidRPr="003870DB">
        <w:rPr>
          <w:lang w:val="uk-UA"/>
        </w:rPr>
        <w:t xml:space="preserve"> </w:t>
      </w:r>
      <w:r w:rsidR="00C95ED7" w:rsidRPr="003870DB">
        <w:rPr>
          <w:lang w:val="uk-UA"/>
        </w:rPr>
        <w:t>електричної енергії</w:t>
      </w:r>
    </w:p>
    <w:p w:rsidR="00AC478E" w:rsidRPr="003870DB" w:rsidRDefault="00AC478E" w:rsidP="009C7C24">
      <w:pPr>
        <w:spacing w:before="120" w:after="120"/>
        <w:ind w:left="5940"/>
        <w:jc w:val="both"/>
        <w:rPr>
          <w:lang w:val="uk-UA"/>
        </w:rPr>
      </w:pPr>
    </w:p>
    <w:p w:rsidR="00AC478E" w:rsidRPr="003870DB" w:rsidRDefault="00AC478E" w:rsidP="009C7C24">
      <w:pPr>
        <w:spacing w:before="120" w:after="120"/>
        <w:ind w:left="5940"/>
        <w:jc w:val="both"/>
        <w:rPr>
          <w:lang w:val="en-US"/>
        </w:rPr>
      </w:pPr>
    </w:p>
    <w:p w:rsidR="00C95ED7" w:rsidRPr="003870DB" w:rsidRDefault="00C95ED7" w:rsidP="009C7C24">
      <w:pPr>
        <w:pStyle w:val="6"/>
        <w:spacing w:before="120" w:after="120"/>
        <w:rPr>
          <w:rFonts w:ascii="Times New Roman" w:hAnsi="Times New Roman"/>
          <w:sz w:val="24"/>
        </w:rPr>
      </w:pPr>
      <w:r w:rsidRPr="003870DB">
        <w:rPr>
          <w:rFonts w:ascii="Times New Roman" w:hAnsi="Times New Roman"/>
          <w:bCs/>
          <w:sz w:val="24"/>
        </w:rPr>
        <w:t xml:space="preserve">ПОРЯДОК  </w:t>
      </w:r>
      <w:r w:rsidRPr="003870DB">
        <w:rPr>
          <w:rFonts w:ascii="Times New Roman" w:hAnsi="Times New Roman"/>
          <w:sz w:val="24"/>
        </w:rPr>
        <w:t>РОЗРАХУНКІВ</w:t>
      </w:r>
    </w:p>
    <w:p w:rsidR="004C539A" w:rsidRPr="003870DB" w:rsidRDefault="004C539A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Тариф (ціна) за послуги з розподілу електричної енергії на ринку електричної енергії затверджуються </w:t>
      </w:r>
      <w:r w:rsidR="007B641D" w:rsidRPr="003870DB">
        <w:rPr>
          <w:lang w:val="uk-UA"/>
        </w:rPr>
        <w:t>Національною комісією що здійснює регулювання в сферах енергетики та комунального господарства (НКРЕКП)</w:t>
      </w:r>
      <w:r w:rsidRPr="003870DB">
        <w:rPr>
          <w:lang w:val="uk-UA"/>
        </w:rPr>
        <w:t xml:space="preserve"> та </w:t>
      </w:r>
      <w:r w:rsidR="0054747F" w:rsidRPr="003870DB">
        <w:rPr>
          <w:lang w:val="uk-UA"/>
        </w:rPr>
        <w:t xml:space="preserve">оприлюднюються </w:t>
      </w:r>
      <w:r w:rsidRPr="003870DB">
        <w:rPr>
          <w:lang w:val="uk-UA"/>
        </w:rPr>
        <w:t xml:space="preserve">на офіційному </w:t>
      </w:r>
      <w:r w:rsidR="00FF5B8F" w:rsidRPr="003870DB">
        <w:rPr>
          <w:lang w:val="uk-UA"/>
        </w:rPr>
        <w:t>веб-</w:t>
      </w:r>
      <w:r w:rsidRPr="003870DB">
        <w:rPr>
          <w:lang w:val="uk-UA"/>
        </w:rPr>
        <w:t xml:space="preserve">сайті Оператора системи: </w:t>
      </w:r>
      <w:proofErr w:type="spellStart"/>
      <w:r w:rsidRPr="003870DB">
        <w:rPr>
          <w:u w:val="single"/>
          <w:lang w:val="en-US"/>
        </w:rPr>
        <w:t>cek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dp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ua</w:t>
      </w:r>
      <w:proofErr w:type="spellEnd"/>
      <w:r w:rsidRPr="003870DB">
        <w:rPr>
          <w:lang w:val="uk-UA"/>
        </w:rPr>
        <w:t>.</w:t>
      </w:r>
    </w:p>
    <w:p w:rsidR="00215978" w:rsidRPr="003870DB" w:rsidRDefault="00215978" w:rsidP="009C7C24">
      <w:pPr>
        <w:pStyle w:val="a3"/>
        <w:numPr>
          <w:ilvl w:val="0"/>
          <w:numId w:val="1"/>
        </w:numPr>
        <w:tabs>
          <w:tab w:val="left" w:pos="426"/>
          <w:tab w:val="left" w:pos="6840"/>
        </w:tabs>
        <w:spacing w:before="120" w:after="120"/>
        <w:ind w:left="0" w:firstLine="0"/>
        <w:contextualSpacing w:val="0"/>
        <w:jc w:val="both"/>
        <w:rPr>
          <w:lang w:val="uk-UA"/>
        </w:rPr>
      </w:pPr>
      <w:r w:rsidRPr="003870DB">
        <w:rPr>
          <w:lang w:val="uk-UA"/>
        </w:rPr>
        <w:t>Розрахунковий період</w:t>
      </w:r>
      <w:r w:rsidR="00504A73" w:rsidRPr="003870DB">
        <w:rPr>
          <w:lang w:val="uk-UA"/>
        </w:rPr>
        <w:t xml:space="preserve"> (розрахунковий місяць)</w:t>
      </w:r>
      <w:r w:rsidRPr="003870DB">
        <w:rPr>
          <w:lang w:val="uk-UA"/>
        </w:rPr>
        <w:t xml:space="preserve"> за цим Договором, для визначення обсягу і вартості виконаних Оператором системи послуг з розподілу електричної енергії, складає календарний місяць.</w:t>
      </w:r>
    </w:p>
    <w:p w:rsidR="00DD1566" w:rsidRPr="003870DB" w:rsidRDefault="00F07E76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i/>
          <w:lang w:val="uk-UA"/>
        </w:rPr>
      </w:pPr>
      <w:r w:rsidRPr="003870DB">
        <w:rPr>
          <w:lang w:val="uk-UA"/>
        </w:rPr>
        <w:t>Загальний о</w:t>
      </w:r>
      <w:r w:rsidR="00DD1566" w:rsidRPr="003870DB">
        <w:rPr>
          <w:lang w:val="uk-UA"/>
        </w:rPr>
        <w:t>бсяг розподіленої електричної енергії</w:t>
      </w:r>
      <w:r w:rsidR="00EA02E7" w:rsidRPr="003870DB">
        <w:rPr>
          <w:lang w:val="uk-UA"/>
        </w:rPr>
        <w:t xml:space="preserve"> за розрахунковий період</w:t>
      </w:r>
      <w:r w:rsidR="00DD1566" w:rsidRPr="003870DB">
        <w:rPr>
          <w:lang w:val="uk-UA"/>
        </w:rPr>
        <w:t xml:space="preserve"> визначається як сума обсягів розподіленої електричної енергії у точ</w:t>
      </w:r>
      <w:r w:rsidR="009A744B" w:rsidRPr="003870DB">
        <w:rPr>
          <w:lang w:val="uk-UA"/>
        </w:rPr>
        <w:t>к</w:t>
      </w:r>
      <w:r w:rsidR="00744667" w:rsidRPr="003870DB">
        <w:rPr>
          <w:lang w:val="uk-UA"/>
        </w:rPr>
        <w:t>ах</w:t>
      </w:r>
      <w:r w:rsidR="00DD1566" w:rsidRPr="003870DB">
        <w:rPr>
          <w:lang w:val="uk-UA"/>
        </w:rPr>
        <w:t xml:space="preserve"> </w:t>
      </w:r>
      <w:r w:rsidR="00F82068" w:rsidRPr="003870DB">
        <w:rPr>
          <w:lang w:val="uk-UA"/>
        </w:rPr>
        <w:t>комерційного обліку</w:t>
      </w:r>
      <w:r w:rsidR="00744667" w:rsidRPr="003870DB">
        <w:rPr>
          <w:lang w:val="uk-UA"/>
        </w:rPr>
        <w:t xml:space="preserve"> Споживачів, що приєднані</w:t>
      </w:r>
      <w:r w:rsidR="00DD1566" w:rsidRPr="003870DB">
        <w:rPr>
          <w:lang w:val="uk-UA"/>
        </w:rPr>
        <w:t xml:space="preserve"> до мереж Оператора системи та </w:t>
      </w:r>
      <w:r w:rsidR="00744667" w:rsidRPr="003870DB">
        <w:rPr>
          <w:lang w:val="uk-UA"/>
        </w:rPr>
        <w:t>мають</w:t>
      </w:r>
      <w:r w:rsidR="009C378E" w:rsidRPr="003870DB">
        <w:rPr>
          <w:lang w:val="uk-UA"/>
        </w:rPr>
        <w:t xml:space="preserve"> договор</w:t>
      </w:r>
      <w:r w:rsidR="00744667" w:rsidRPr="003870DB">
        <w:rPr>
          <w:lang w:val="uk-UA"/>
        </w:rPr>
        <w:t>и</w:t>
      </w:r>
      <w:r w:rsidR="009C378E" w:rsidRPr="003870DB">
        <w:rPr>
          <w:lang w:val="uk-UA"/>
        </w:rPr>
        <w:t xml:space="preserve"> про постачання електричної енергії з Постачальником, згідно якого </w:t>
      </w:r>
      <w:r w:rsidR="001F0BCA" w:rsidRPr="003870DB">
        <w:rPr>
          <w:lang w:val="uk-UA"/>
        </w:rPr>
        <w:t>С</w:t>
      </w:r>
      <w:r w:rsidR="009C378E" w:rsidRPr="003870DB">
        <w:rPr>
          <w:lang w:val="uk-UA"/>
        </w:rPr>
        <w:t>поживач</w:t>
      </w:r>
      <w:r w:rsidR="008658D2" w:rsidRPr="003870DB">
        <w:rPr>
          <w:lang w:val="uk-UA"/>
        </w:rPr>
        <w:t>і</w:t>
      </w:r>
      <w:r w:rsidR="009C378E" w:rsidRPr="003870DB">
        <w:rPr>
          <w:lang w:val="uk-UA"/>
        </w:rPr>
        <w:t xml:space="preserve"> оплач</w:t>
      </w:r>
      <w:r w:rsidR="00744667" w:rsidRPr="003870DB">
        <w:rPr>
          <w:lang w:val="uk-UA"/>
        </w:rPr>
        <w:t>ують</w:t>
      </w:r>
      <w:r w:rsidR="009C378E" w:rsidRPr="003870DB">
        <w:rPr>
          <w:lang w:val="uk-UA"/>
        </w:rPr>
        <w:t xml:space="preserve"> послугу з розподілу Постачальнику.</w:t>
      </w:r>
    </w:p>
    <w:p w:rsidR="00836FD4" w:rsidRPr="003870DB" w:rsidRDefault="00836FD4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i/>
          <w:lang w:val="uk-UA"/>
        </w:rPr>
      </w:pPr>
      <w:r w:rsidRPr="003870DB">
        <w:rPr>
          <w:lang w:val="uk-UA"/>
        </w:rPr>
        <w:t>Обсяг розподіленої електричної енергії у точці комерційного обліку визначається за даними вузла обліку електричної енергії (далі - ВОЕ) цієї точки з урахуванням втрат електричної енергії на ділянці мережі від межі балансової належності до місця встановлення ВОЕ.</w:t>
      </w:r>
    </w:p>
    <w:p w:rsidR="008B1AF2" w:rsidRPr="003870DB" w:rsidRDefault="008B1AF2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Оператор системи до 8 числа місяця, наступного за розрахунковим періодом направляє дані щодо обсягу розподіленої електричної енергії до центральної інформаційно-комунікаційної платформи Адміністратора комерційного обліку та  розміщує зазначені дані на своєму офіційному веб-сайті - </w:t>
      </w:r>
      <w:proofErr w:type="spellStart"/>
      <w:r w:rsidRPr="003870DB">
        <w:rPr>
          <w:u w:val="single"/>
          <w:lang w:val="en-US"/>
        </w:rPr>
        <w:t>cek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dp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ua</w:t>
      </w:r>
      <w:proofErr w:type="spellEnd"/>
      <w:r w:rsidRPr="003870DB">
        <w:rPr>
          <w:lang w:val="uk-UA"/>
        </w:rPr>
        <w:t xml:space="preserve"> у формі Додатків 5, 5А до цього Договору. На підставі цих даних формується загальний обсяг розподіленої електричної енергії.</w:t>
      </w:r>
    </w:p>
    <w:p w:rsidR="00A36D38" w:rsidRPr="003870DB" w:rsidRDefault="00A36D38" w:rsidP="008B1AF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Щомісяця, у строк до 10 числа місяця, наступного за розрахунковим, Оператор системи</w:t>
      </w:r>
      <w:r w:rsidR="00EC67CD" w:rsidRPr="003870DB">
        <w:rPr>
          <w:lang w:val="uk-UA"/>
        </w:rPr>
        <w:t xml:space="preserve"> </w:t>
      </w:r>
      <w:r w:rsidRPr="003870DB">
        <w:rPr>
          <w:lang w:val="uk-UA"/>
        </w:rPr>
        <w:t>оформлю</w:t>
      </w:r>
      <w:r w:rsidR="00504A73" w:rsidRPr="003870DB">
        <w:rPr>
          <w:lang w:val="uk-UA"/>
        </w:rPr>
        <w:t>є</w:t>
      </w:r>
      <w:r w:rsidRPr="003870DB">
        <w:rPr>
          <w:lang w:val="uk-UA"/>
        </w:rPr>
        <w:t xml:space="preserve"> </w:t>
      </w:r>
      <w:r w:rsidR="00EC67CD" w:rsidRPr="003870DB">
        <w:rPr>
          <w:lang w:val="uk-UA"/>
        </w:rPr>
        <w:t>з Постачальником</w:t>
      </w:r>
      <w:r w:rsidR="00EC67CD" w:rsidRPr="003870DB">
        <w:rPr>
          <w:bCs/>
          <w:lang w:val="uk-UA"/>
        </w:rPr>
        <w:t xml:space="preserve"> </w:t>
      </w:r>
      <w:r w:rsidRPr="003870DB">
        <w:rPr>
          <w:bCs/>
          <w:lang w:val="uk-UA"/>
        </w:rPr>
        <w:t xml:space="preserve">Акт </w:t>
      </w:r>
      <w:r w:rsidRPr="003870DB">
        <w:rPr>
          <w:lang w:val="uk-UA"/>
        </w:rPr>
        <w:t>виконаних робіт (послуг) з</w:t>
      </w:r>
      <w:r w:rsidRPr="003870DB">
        <w:rPr>
          <w:bCs/>
          <w:lang w:val="uk-UA"/>
        </w:rPr>
        <w:t xml:space="preserve"> </w:t>
      </w:r>
      <w:r w:rsidRPr="003870DB">
        <w:rPr>
          <w:lang w:val="uk-UA"/>
        </w:rPr>
        <w:t xml:space="preserve">розподілу електричної енергії (Додаток № </w:t>
      </w:r>
      <w:r w:rsidR="00652FBD" w:rsidRPr="003870DB">
        <w:rPr>
          <w:lang w:val="uk-UA"/>
        </w:rPr>
        <w:t>6</w:t>
      </w:r>
      <w:r w:rsidR="008B1AF2" w:rsidRPr="003870DB">
        <w:rPr>
          <w:lang w:val="uk-UA"/>
        </w:rPr>
        <w:t xml:space="preserve"> до цього Договору) та Акт виконаних робіт з додаткових (інформаційних) послуг.</w:t>
      </w:r>
    </w:p>
    <w:p w:rsidR="00A3691C" w:rsidRPr="003870DB" w:rsidRDefault="00F07E76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Вартість послуг з розподілу електричної енергії визначається як добуток</w:t>
      </w:r>
      <w:r w:rsidR="00D56BF2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загального обсягу розподіленої електричної енергії на відповідному класі напруги на відповідний тариф, що є чинним на </w:t>
      </w:r>
      <w:r w:rsidR="0054747F" w:rsidRPr="003870DB">
        <w:rPr>
          <w:lang w:val="uk-UA"/>
        </w:rPr>
        <w:t>1 число розрахункового періоду</w:t>
      </w:r>
      <w:r w:rsidR="00AA096C" w:rsidRPr="003870DB">
        <w:rPr>
          <w:lang w:val="uk-UA"/>
        </w:rPr>
        <w:t>.</w:t>
      </w:r>
    </w:p>
    <w:p w:rsidR="008B1AF2" w:rsidRPr="00204B57" w:rsidRDefault="009C378E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426"/>
        <w:jc w:val="both"/>
        <w:rPr>
          <w:lang w:val="uk-UA"/>
        </w:rPr>
      </w:pPr>
      <w:r w:rsidRPr="00204B57">
        <w:rPr>
          <w:lang w:val="uk-UA"/>
        </w:rPr>
        <w:t xml:space="preserve">Постачальник </w:t>
      </w:r>
      <w:r w:rsidR="0054747F" w:rsidRPr="00204B57">
        <w:rPr>
          <w:lang w:val="uk-UA"/>
        </w:rPr>
        <w:t xml:space="preserve">до </w:t>
      </w:r>
      <w:r w:rsidR="008B1AF2" w:rsidRPr="00204B57">
        <w:rPr>
          <w:lang w:val="uk-UA"/>
        </w:rPr>
        <w:t>15</w:t>
      </w:r>
      <w:r w:rsidR="0054747F" w:rsidRPr="00204B57">
        <w:rPr>
          <w:lang w:val="uk-UA"/>
        </w:rPr>
        <w:t>.12.2018 року</w:t>
      </w:r>
      <w:r w:rsidR="008658D2" w:rsidRPr="00204B57">
        <w:rPr>
          <w:lang w:val="uk-UA"/>
        </w:rPr>
        <w:t>, а в подальшому - щорічно</w:t>
      </w:r>
      <w:r w:rsidRPr="00204B57">
        <w:rPr>
          <w:lang w:val="uk-UA"/>
        </w:rPr>
        <w:t xml:space="preserve"> </w:t>
      </w:r>
      <w:r w:rsidR="001F0BCA" w:rsidRPr="00204B57">
        <w:rPr>
          <w:lang w:val="uk-UA"/>
        </w:rPr>
        <w:t xml:space="preserve">до </w:t>
      </w:r>
      <w:r w:rsidR="00FC0A98" w:rsidRPr="00204B57">
        <w:rPr>
          <w:lang w:val="uk-UA"/>
        </w:rPr>
        <w:t>01</w:t>
      </w:r>
      <w:r w:rsidR="001F0BCA" w:rsidRPr="00204B57">
        <w:rPr>
          <w:lang w:val="uk-UA"/>
        </w:rPr>
        <w:t xml:space="preserve"> </w:t>
      </w:r>
      <w:r w:rsidR="00FC0A98" w:rsidRPr="00204B57">
        <w:rPr>
          <w:lang w:val="uk-UA"/>
        </w:rPr>
        <w:t>жовтня</w:t>
      </w:r>
      <w:r w:rsidR="001F0BCA" w:rsidRPr="00204B57">
        <w:rPr>
          <w:lang w:val="uk-UA"/>
        </w:rPr>
        <w:t xml:space="preserve"> поточного року</w:t>
      </w:r>
      <w:r w:rsidR="008658D2" w:rsidRPr="00204B57">
        <w:rPr>
          <w:lang w:val="uk-UA"/>
        </w:rPr>
        <w:t>,</w:t>
      </w:r>
      <w:r w:rsidR="001F0BCA" w:rsidRPr="00204B57">
        <w:rPr>
          <w:lang w:val="uk-UA"/>
        </w:rPr>
        <w:t xml:space="preserve"> </w:t>
      </w:r>
      <w:r w:rsidRPr="00204B57">
        <w:rPr>
          <w:lang w:val="uk-UA"/>
        </w:rPr>
        <w:t>оформл</w:t>
      </w:r>
      <w:r w:rsidR="008658D2" w:rsidRPr="00204B57">
        <w:rPr>
          <w:lang w:val="uk-UA"/>
        </w:rPr>
        <w:t>я</w:t>
      </w:r>
      <w:r w:rsidRPr="00204B57">
        <w:rPr>
          <w:lang w:val="uk-UA"/>
        </w:rPr>
        <w:t xml:space="preserve">є у вигляді </w:t>
      </w:r>
      <w:r w:rsidR="00C4382B" w:rsidRPr="00204B57">
        <w:rPr>
          <w:lang w:val="uk-UA"/>
        </w:rPr>
        <w:t>Д</w:t>
      </w:r>
      <w:r w:rsidRPr="00204B57">
        <w:rPr>
          <w:lang w:val="uk-UA"/>
        </w:rPr>
        <w:t xml:space="preserve">одатку </w:t>
      </w:r>
      <w:r w:rsidR="00652FBD" w:rsidRPr="00204B57">
        <w:rPr>
          <w:lang w:val="uk-UA"/>
        </w:rPr>
        <w:t>4 до Договору обсяги очікуваних</w:t>
      </w:r>
      <w:r w:rsidR="004E58C4" w:rsidRPr="00204B57">
        <w:rPr>
          <w:lang w:val="uk-UA"/>
        </w:rPr>
        <w:t xml:space="preserve"> (прогнозованих) </w:t>
      </w:r>
      <w:r w:rsidR="00652FBD" w:rsidRPr="00204B57">
        <w:rPr>
          <w:lang w:val="uk-UA"/>
        </w:rPr>
        <w:t>величин</w:t>
      </w:r>
      <w:r w:rsidRPr="00204B57">
        <w:rPr>
          <w:lang w:val="uk-UA"/>
        </w:rPr>
        <w:t xml:space="preserve"> </w:t>
      </w:r>
      <w:r w:rsidR="008658D2" w:rsidRPr="00204B57">
        <w:rPr>
          <w:bCs/>
          <w:lang w:val="uk-UA"/>
        </w:rPr>
        <w:t>розподіленої</w:t>
      </w:r>
      <w:r w:rsidRPr="00204B57">
        <w:rPr>
          <w:bCs/>
          <w:lang w:val="uk-UA"/>
        </w:rPr>
        <w:t xml:space="preserve"> електричної енергії</w:t>
      </w:r>
      <w:r w:rsidR="008658D2" w:rsidRPr="00204B57">
        <w:rPr>
          <w:lang w:val="uk-UA"/>
        </w:rPr>
        <w:t xml:space="preserve"> </w:t>
      </w:r>
      <w:r w:rsidR="00652FBD" w:rsidRPr="00204B57">
        <w:rPr>
          <w:lang w:val="uk-UA"/>
        </w:rPr>
        <w:t xml:space="preserve">за </w:t>
      </w:r>
      <w:r w:rsidR="008658D2" w:rsidRPr="00204B57">
        <w:rPr>
          <w:lang w:val="uk-UA"/>
        </w:rPr>
        <w:t>Споживачам</w:t>
      </w:r>
      <w:r w:rsidR="00652FBD" w:rsidRPr="00204B57">
        <w:rPr>
          <w:lang w:val="uk-UA"/>
        </w:rPr>
        <w:t>и</w:t>
      </w:r>
      <w:r w:rsidR="008658D2" w:rsidRPr="00204B57">
        <w:rPr>
          <w:lang w:val="uk-UA"/>
        </w:rPr>
        <w:t xml:space="preserve"> Постачальника на наступн</w:t>
      </w:r>
      <w:r w:rsidR="000D0185" w:rsidRPr="00204B57">
        <w:rPr>
          <w:lang w:val="uk-UA"/>
        </w:rPr>
        <w:t xml:space="preserve">ий календарний рік </w:t>
      </w:r>
      <w:r w:rsidR="008658D2" w:rsidRPr="00204B57">
        <w:rPr>
          <w:lang w:val="uk-UA"/>
        </w:rPr>
        <w:t>помісячно</w:t>
      </w:r>
      <w:r w:rsidR="000D0185" w:rsidRPr="00204B57">
        <w:rPr>
          <w:lang w:val="uk-UA"/>
        </w:rPr>
        <w:t xml:space="preserve"> з січня по грудень</w:t>
      </w:r>
      <w:r w:rsidR="008658D2" w:rsidRPr="00204B57">
        <w:rPr>
          <w:lang w:val="uk-UA"/>
        </w:rPr>
        <w:t xml:space="preserve"> за класами напруги та надає Оператору системи.</w:t>
      </w:r>
      <w:r w:rsidR="00204B57">
        <w:rPr>
          <w:lang w:val="uk-UA"/>
        </w:rPr>
        <w:t xml:space="preserve"> </w:t>
      </w:r>
      <w:r w:rsidR="008B1AF2" w:rsidRPr="00204B57">
        <w:rPr>
          <w:lang w:val="uk-UA"/>
        </w:rPr>
        <w:t>Постачальник зобов’язаний обсяги надані у Додатку 4 розділити на:</w:t>
      </w:r>
    </w:p>
    <w:p w:rsidR="008B1AF2" w:rsidRPr="003870DB" w:rsidRDefault="008B1AF2" w:rsidP="00857670">
      <w:pPr>
        <w:pStyle w:val="a3"/>
        <w:numPr>
          <w:ilvl w:val="0"/>
          <w:numId w:val="4"/>
        </w:numPr>
        <w:tabs>
          <w:tab w:val="left" w:pos="426"/>
        </w:tabs>
        <w:spacing w:before="120" w:after="120"/>
        <w:ind w:left="426"/>
        <w:jc w:val="both"/>
        <w:rPr>
          <w:lang w:val="uk-UA"/>
        </w:rPr>
      </w:pPr>
      <w:r w:rsidRPr="003870DB">
        <w:rPr>
          <w:lang w:val="uk-UA"/>
        </w:rPr>
        <w:t>очікуване місячне (по годинах) споживання електричної енергії споживачами групи «а» (прогнозний графік</w:t>
      </w:r>
      <w:r w:rsidR="00857670" w:rsidRPr="003870DB">
        <w:t xml:space="preserve"> </w:t>
      </w:r>
      <w:r w:rsidR="00857670" w:rsidRPr="003870DB">
        <w:rPr>
          <w:lang w:val="uk-UA"/>
        </w:rPr>
        <w:t>групи «а»</w:t>
      </w:r>
      <w:r w:rsidRPr="003870DB">
        <w:rPr>
          <w:lang w:val="uk-UA"/>
        </w:rPr>
        <w:t xml:space="preserve">) на наступний </w:t>
      </w:r>
      <w:r w:rsidR="006E386F" w:rsidRPr="003870DB">
        <w:rPr>
          <w:lang w:val="uk-UA"/>
        </w:rPr>
        <w:t>рік помісячно</w:t>
      </w:r>
      <w:r w:rsidRPr="003870DB">
        <w:rPr>
          <w:lang w:val="uk-UA"/>
        </w:rPr>
        <w:t>;</w:t>
      </w:r>
    </w:p>
    <w:p w:rsidR="008B1AF2" w:rsidRPr="003870DB" w:rsidRDefault="006E386F" w:rsidP="006E386F">
      <w:pPr>
        <w:pStyle w:val="a3"/>
        <w:numPr>
          <w:ilvl w:val="0"/>
          <w:numId w:val="4"/>
        </w:numPr>
        <w:tabs>
          <w:tab w:val="left" w:pos="426"/>
        </w:tabs>
        <w:spacing w:before="120" w:after="120"/>
        <w:ind w:left="426"/>
        <w:jc w:val="both"/>
        <w:rPr>
          <w:lang w:val="uk-UA"/>
        </w:rPr>
      </w:pPr>
      <w:r w:rsidRPr="003870DB">
        <w:rPr>
          <w:lang w:val="uk-UA"/>
        </w:rPr>
        <w:t xml:space="preserve">очікуване місячне споживання </w:t>
      </w:r>
      <w:r w:rsidR="008B1AF2" w:rsidRPr="003870DB">
        <w:rPr>
          <w:lang w:val="uk-UA"/>
        </w:rPr>
        <w:t>електричної енергії для споживач</w:t>
      </w:r>
      <w:r w:rsidRPr="003870DB">
        <w:rPr>
          <w:lang w:val="uk-UA"/>
        </w:rPr>
        <w:t>ів групи «б» (прогнозний обсяг).</w:t>
      </w:r>
    </w:p>
    <w:p w:rsidR="006E386F" w:rsidRPr="003870DB" w:rsidRDefault="006E386F" w:rsidP="006E386F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lastRenderedPageBreak/>
        <w:t>За 30 календарних днів до початку розрахункового місяця Постачальник повинен надати Оператору системи розподілу повідомлення про замовлений обсяг купівлі електричної енергії.</w:t>
      </w:r>
    </w:p>
    <w:p w:rsidR="00A3691C" w:rsidRPr="003870DB" w:rsidRDefault="00695A9E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 xml:space="preserve">Якщо Постачальник не </w:t>
      </w:r>
      <w:proofErr w:type="spellStart"/>
      <w:r w:rsidRPr="003870DB">
        <w:rPr>
          <w:lang w:val="uk-UA"/>
        </w:rPr>
        <w:t>нада</w:t>
      </w:r>
      <w:r w:rsidR="005965F0" w:rsidRPr="003870DB">
        <w:rPr>
          <w:lang w:val="uk-UA"/>
        </w:rPr>
        <w:t>сть</w:t>
      </w:r>
      <w:proofErr w:type="spellEnd"/>
      <w:r w:rsidRPr="003870DB">
        <w:rPr>
          <w:lang w:val="uk-UA"/>
        </w:rPr>
        <w:t xml:space="preserve"> до </w:t>
      </w:r>
      <w:r w:rsidR="00204B57">
        <w:rPr>
          <w:lang w:val="uk-UA"/>
        </w:rPr>
        <w:t>15</w:t>
      </w:r>
      <w:r w:rsidRPr="003870DB">
        <w:rPr>
          <w:lang w:val="uk-UA"/>
        </w:rPr>
        <w:t>.12.</w:t>
      </w:r>
      <w:r w:rsidR="008050EB" w:rsidRPr="003870DB">
        <w:rPr>
          <w:lang w:val="uk-UA"/>
        </w:rPr>
        <w:t>20</w:t>
      </w:r>
      <w:r w:rsidRPr="003870DB">
        <w:rPr>
          <w:lang w:val="uk-UA"/>
        </w:rPr>
        <w:t xml:space="preserve">18 Додаток </w:t>
      </w:r>
      <w:r w:rsidR="004E58C4" w:rsidRPr="003870DB">
        <w:rPr>
          <w:lang w:val="uk-UA"/>
        </w:rPr>
        <w:t>4 до Договору</w:t>
      </w:r>
      <w:r w:rsidRPr="003870DB">
        <w:rPr>
          <w:lang w:val="uk-UA"/>
        </w:rPr>
        <w:t xml:space="preserve"> на період з 01.</w:t>
      </w:r>
      <w:r w:rsidR="00204B57">
        <w:rPr>
          <w:lang w:val="uk-UA"/>
        </w:rPr>
        <w:t>01</w:t>
      </w:r>
      <w:r w:rsidRPr="003870DB">
        <w:rPr>
          <w:lang w:val="uk-UA"/>
        </w:rPr>
        <w:t>.201</w:t>
      </w:r>
      <w:r w:rsidR="00204B57">
        <w:rPr>
          <w:lang w:val="uk-UA"/>
        </w:rPr>
        <w:t>9</w:t>
      </w:r>
      <w:bookmarkStart w:id="0" w:name="_GoBack"/>
      <w:bookmarkEnd w:id="0"/>
      <w:r w:rsidRPr="003870DB">
        <w:rPr>
          <w:lang w:val="uk-UA"/>
        </w:rPr>
        <w:t xml:space="preserve"> по 31.12.2019, Оператор системи самостійно визначає </w:t>
      </w:r>
      <w:r w:rsidR="006923EE" w:rsidRPr="003870DB">
        <w:rPr>
          <w:lang w:val="uk-UA"/>
        </w:rPr>
        <w:t>очікувані (прогнозовані) величини розподіленої електричної енергії</w:t>
      </w:r>
      <w:r w:rsidRPr="003870DB">
        <w:rPr>
          <w:lang w:val="uk-UA"/>
        </w:rPr>
        <w:t xml:space="preserve"> на </w:t>
      </w:r>
      <w:r w:rsidR="0054747F" w:rsidRPr="003870DB">
        <w:rPr>
          <w:lang w:val="uk-UA"/>
        </w:rPr>
        <w:t xml:space="preserve">прогнозований </w:t>
      </w:r>
      <w:r w:rsidRPr="003870DB">
        <w:rPr>
          <w:lang w:val="uk-UA"/>
        </w:rPr>
        <w:t>період.</w:t>
      </w:r>
    </w:p>
    <w:p w:rsidR="00A3691C" w:rsidRPr="003870DB" w:rsidRDefault="00BC3A74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У разі ненадання</w:t>
      </w:r>
      <w:r w:rsidR="009D1C3F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Постачальником Додатку </w:t>
      </w:r>
      <w:r w:rsidR="004E58C4" w:rsidRPr="003870DB">
        <w:rPr>
          <w:lang w:val="uk-UA"/>
        </w:rPr>
        <w:t>4 до Договору</w:t>
      </w:r>
      <w:r w:rsidRPr="003870DB">
        <w:rPr>
          <w:lang w:val="uk-UA"/>
        </w:rPr>
        <w:t xml:space="preserve"> на наступн</w:t>
      </w:r>
      <w:r w:rsidR="009D1C3F" w:rsidRPr="003870DB">
        <w:rPr>
          <w:lang w:val="uk-UA"/>
        </w:rPr>
        <w:t>і періоди</w:t>
      </w:r>
      <w:r w:rsidR="00913E92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Оператор системи </w:t>
      </w:r>
      <w:r w:rsidR="005965F0" w:rsidRPr="003870DB">
        <w:rPr>
          <w:lang w:val="uk-UA"/>
        </w:rPr>
        <w:t xml:space="preserve">також </w:t>
      </w:r>
      <w:r w:rsidRPr="003870DB">
        <w:rPr>
          <w:lang w:val="uk-UA"/>
        </w:rPr>
        <w:t xml:space="preserve">самостійно визначає </w:t>
      </w:r>
      <w:r w:rsidR="006923EE" w:rsidRPr="003870DB">
        <w:rPr>
          <w:lang w:val="uk-UA"/>
        </w:rPr>
        <w:t>очікувані (</w:t>
      </w:r>
      <w:r w:rsidRPr="003870DB">
        <w:rPr>
          <w:lang w:val="uk-UA"/>
        </w:rPr>
        <w:t>прогнозовані</w:t>
      </w:r>
      <w:r w:rsidR="006923EE" w:rsidRPr="003870DB">
        <w:rPr>
          <w:lang w:val="uk-UA"/>
        </w:rPr>
        <w:t>)</w:t>
      </w:r>
      <w:r w:rsidRPr="003870DB">
        <w:rPr>
          <w:lang w:val="uk-UA"/>
        </w:rPr>
        <w:t xml:space="preserve"> </w:t>
      </w:r>
      <w:r w:rsidR="006923EE" w:rsidRPr="003870DB">
        <w:rPr>
          <w:lang w:val="uk-UA"/>
        </w:rPr>
        <w:t>величини</w:t>
      </w:r>
      <w:r w:rsidRPr="003870DB">
        <w:rPr>
          <w:lang w:val="uk-UA"/>
        </w:rPr>
        <w:t xml:space="preserve"> </w:t>
      </w:r>
      <w:r w:rsidR="006923EE" w:rsidRPr="003870DB">
        <w:rPr>
          <w:lang w:val="uk-UA"/>
        </w:rPr>
        <w:t>розподіленої електричної енергії</w:t>
      </w:r>
      <w:r w:rsidRPr="003870DB">
        <w:rPr>
          <w:lang w:val="uk-UA"/>
        </w:rPr>
        <w:t xml:space="preserve"> на наступн</w:t>
      </w:r>
      <w:r w:rsidR="009D1C3F" w:rsidRPr="003870DB">
        <w:rPr>
          <w:lang w:val="uk-UA"/>
        </w:rPr>
        <w:t>і</w:t>
      </w:r>
      <w:r w:rsidRPr="003870DB">
        <w:rPr>
          <w:lang w:val="uk-UA"/>
        </w:rPr>
        <w:t xml:space="preserve"> </w:t>
      </w:r>
      <w:r w:rsidR="009D1C3F" w:rsidRPr="003870DB">
        <w:rPr>
          <w:lang w:val="uk-UA"/>
        </w:rPr>
        <w:t xml:space="preserve">періоди </w:t>
      </w:r>
      <w:r w:rsidR="000D0185" w:rsidRPr="003870DB">
        <w:rPr>
          <w:lang w:val="uk-UA"/>
        </w:rPr>
        <w:t xml:space="preserve"> за</w:t>
      </w:r>
      <w:r w:rsidRPr="003870DB">
        <w:rPr>
          <w:lang w:val="uk-UA"/>
        </w:rPr>
        <w:t xml:space="preserve"> фактичними обсягами розподіленої електричної енергії відповідн</w:t>
      </w:r>
      <w:r w:rsidR="005965F0" w:rsidRPr="003870DB">
        <w:rPr>
          <w:lang w:val="uk-UA"/>
        </w:rPr>
        <w:t>их</w:t>
      </w:r>
      <w:r w:rsidR="000D0185" w:rsidRPr="003870DB">
        <w:rPr>
          <w:lang w:val="uk-UA"/>
        </w:rPr>
        <w:t xml:space="preserve"> </w:t>
      </w:r>
      <w:r w:rsidR="009D1C3F" w:rsidRPr="003870DB">
        <w:rPr>
          <w:lang w:val="uk-UA"/>
        </w:rPr>
        <w:t>період</w:t>
      </w:r>
      <w:r w:rsidR="005965F0" w:rsidRPr="003870DB">
        <w:rPr>
          <w:lang w:val="uk-UA"/>
        </w:rPr>
        <w:t>ів</w:t>
      </w:r>
      <w:r w:rsidRPr="003870DB">
        <w:rPr>
          <w:lang w:val="uk-UA"/>
        </w:rPr>
        <w:t xml:space="preserve"> минулого</w:t>
      </w:r>
      <w:r w:rsidR="009D1C3F" w:rsidRPr="003870DB">
        <w:rPr>
          <w:lang w:val="uk-UA"/>
        </w:rPr>
        <w:t xml:space="preserve"> періоду</w:t>
      </w:r>
      <w:r w:rsidR="008E3823" w:rsidRPr="003870DB">
        <w:rPr>
          <w:lang w:val="uk-UA"/>
        </w:rPr>
        <w:t>(року)</w:t>
      </w:r>
      <w:r w:rsidRPr="003870DB">
        <w:rPr>
          <w:lang w:val="uk-UA"/>
        </w:rPr>
        <w:t xml:space="preserve">, які відповідають майбутнім </w:t>
      </w:r>
      <w:r w:rsidR="000D0185" w:rsidRPr="003870DB">
        <w:rPr>
          <w:lang w:val="uk-UA"/>
        </w:rPr>
        <w:t xml:space="preserve">місяцям </w:t>
      </w:r>
      <w:r w:rsidRPr="003870DB">
        <w:rPr>
          <w:lang w:val="uk-UA"/>
        </w:rPr>
        <w:t>поточного року.</w:t>
      </w:r>
    </w:p>
    <w:p w:rsidR="00A3691C" w:rsidRPr="003870DB" w:rsidRDefault="001F0BCA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Коригування </w:t>
      </w:r>
      <w:r w:rsidR="004E58C4" w:rsidRPr="003870DB">
        <w:rPr>
          <w:lang w:val="uk-UA"/>
        </w:rPr>
        <w:t xml:space="preserve">очікуваних (прогнозованих) величин  розподіленої електричної енергії </w:t>
      </w:r>
      <w:r w:rsidR="00B02906" w:rsidRPr="003870DB">
        <w:rPr>
          <w:lang w:val="uk-UA"/>
        </w:rPr>
        <w:t xml:space="preserve">за заявою Постачальника </w:t>
      </w:r>
      <w:r w:rsidRPr="003870DB">
        <w:rPr>
          <w:lang w:val="uk-UA"/>
        </w:rPr>
        <w:t>проводиться Оператором системи не пізніше ніж до 15 числа розрахункового місяця.</w:t>
      </w:r>
    </w:p>
    <w:p w:rsidR="00A3691C" w:rsidRPr="003870DB" w:rsidRDefault="001F0BCA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У разі заяви</w:t>
      </w:r>
      <w:r w:rsidR="00B02906" w:rsidRPr="003870DB">
        <w:rPr>
          <w:lang w:val="uk-UA"/>
        </w:rPr>
        <w:t xml:space="preserve"> Постачальника про</w:t>
      </w:r>
      <w:r w:rsidRPr="003870DB">
        <w:rPr>
          <w:lang w:val="uk-UA"/>
        </w:rPr>
        <w:t xml:space="preserve"> коригування</w:t>
      </w:r>
      <w:r w:rsidR="00B02906" w:rsidRPr="003870DB">
        <w:rPr>
          <w:lang w:val="uk-UA"/>
        </w:rPr>
        <w:t xml:space="preserve"> </w:t>
      </w:r>
      <w:r w:rsidR="006923EE" w:rsidRPr="003870DB">
        <w:rPr>
          <w:lang w:val="uk-UA"/>
        </w:rPr>
        <w:t xml:space="preserve">очікуваних (прогнозованих) величин  розподіленої електричної енергії </w:t>
      </w:r>
      <w:r w:rsidRPr="003870DB">
        <w:rPr>
          <w:lang w:val="uk-UA"/>
        </w:rPr>
        <w:t xml:space="preserve">у бік збільшення, Постачальник зобов’язаний сплатити </w:t>
      </w:r>
      <w:r w:rsidR="00B02906" w:rsidRPr="003870DB">
        <w:rPr>
          <w:lang w:val="uk-UA"/>
        </w:rPr>
        <w:t>вартість</w:t>
      </w:r>
      <w:r w:rsidRPr="003870DB">
        <w:rPr>
          <w:lang w:val="uk-UA"/>
        </w:rPr>
        <w:t xml:space="preserve"> </w:t>
      </w:r>
      <w:r w:rsidR="00B02906" w:rsidRPr="003870DB">
        <w:rPr>
          <w:lang w:val="uk-UA"/>
        </w:rPr>
        <w:t xml:space="preserve">послуг з </w:t>
      </w:r>
      <w:r w:rsidRPr="003870DB">
        <w:rPr>
          <w:lang w:val="uk-UA"/>
        </w:rPr>
        <w:t>розподіл</w:t>
      </w:r>
      <w:r w:rsidR="00B02906" w:rsidRPr="003870DB">
        <w:rPr>
          <w:lang w:val="uk-UA"/>
        </w:rPr>
        <w:t>у</w:t>
      </w:r>
      <w:r w:rsidRPr="003870DB">
        <w:rPr>
          <w:lang w:val="uk-UA"/>
        </w:rPr>
        <w:t xml:space="preserve"> </w:t>
      </w:r>
      <w:r w:rsidR="00F030F8" w:rsidRPr="003870DB">
        <w:rPr>
          <w:lang w:val="uk-UA"/>
        </w:rPr>
        <w:t>додатково заявлен</w:t>
      </w:r>
      <w:r w:rsidR="00B02906" w:rsidRPr="003870DB">
        <w:rPr>
          <w:lang w:val="uk-UA"/>
        </w:rPr>
        <w:t>ого</w:t>
      </w:r>
      <w:r w:rsidRPr="003870DB">
        <w:rPr>
          <w:lang w:val="uk-UA"/>
        </w:rPr>
        <w:t xml:space="preserve"> обсяг</w:t>
      </w:r>
      <w:r w:rsidR="00B02906" w:rsidRPr="003870DB">
        <w:rPr>
          <w:lang w:val="uk-UA"/>
        </w:rPr>
        <w:t>у</w:t>
      </w:r>
      <w:r w:rsidRPr="003870DB">
        <w:rPr>
          <w:lang w:val="uk-UA"/>
        </w:rPr>
        <w:t xml:space="preserve"> електричної енергії</w:t>
      </w:r>
      <w:r w:rsidR="00F030F8" w:rsidRPr="003870DB">
        <w:rPr>
          <w:lang w:val="uk-UA"/>
        </w:rPr>
        <w:t xml:space="preserve">. Оператор системи має право відмовити у коригуванні заявлених </w:t>
      </w:r>
      <w:r w:rsidR="006923EE" w:rsidRPr="003870DB">
        <w:rPr>
          <w:lang w:val="uk-UA"/>
        </w:rPr>
        <w:t>очікуваних (прогнозованих) величин  розподіленої електричної енергії</w:t>
      </w:r>
      <w:r w:rsidR="00F030F8" w:rsidRPr="003870DB">
        <w:rPr>
          <w:lang w:val="uk-UA"/>
        </w:rPr>
        <w:t>, якщо кошти за розподіл додатково заявленого обсягу електричної енергії не будуть зараховані на поточний рахунок Оператора системи до 15 числа розрахункового місяця.</w:t>
      </w:r>
    </w:p>
    <w:p w:rsidR="00A3691C" w:rsidRPr="003870DB" w:rsidRDefault="008859E9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 xml:space="preserve">У разі якщо заявлені Постачальником на розрахунковий місяць обсяги </w:t>
      </w:r>
      <w:r w:rsidR="006923EE" w:rsidRPr="003870DB">
        <w:rPr>
          <w:lang w:val="uk-UA"/>
        </w:rPr>
        <w:t>очікуваних (прогнозованих) величин розподіленої електричної енергії</w:t>
      </w:r>
      <w:r w:rsidRPr="003870DB">
        <w:rPr>
          <w:lang w:val="uk-UA"/>
        </w:rPr>
        <w:t xml:space="preserve"> відрізняються від фактичних більше ніж на 10 відсотків в бік зменшення, Постачальник при остаточному розрахунку сплачує Оператору системи неустойку у розмірі 100% вартості послуги з розподілу електричної енергії, яка дорівнює </w:t>
      </w:r>
      <w:r w:rsidR="000C1640" w:rsidRPr="003870DB">
        <w:rPr>
          <w:lang w:val="uk-UA"/>
        </w:rPr>
        <w:t xml:space="preserve">добутку </w:t>
      </w:r>
      <w:r w:rsidR="00504A73" w:rsidRPr="003870DB">
        <w:rPr>
          <w:lang w:val="uk-UA"/>
        </w:rPr>
        <w:t xml:space="preserve">чинного тарифу з розподілу Оператора системи та </w:t>
      </w:r>
      <w:r w:rsidRPr="003870DB">
        <w:rPr>
          <w:lang w:val="uk-UA"/>
        </w:rPr>
        <w:t>різниці заявлен</w:t>
      </w:r>
      <w:r w:rsidR="00504A73" w:rsidRPr="003870DB">
        <w:rPr>
          <w:lang w:val="uk-UA"/>
        </w:rPr>
        <w:t>ого</w:t>
      </w:r>
      <w:r w:rsidRPr="003870DB">
        <w:rPr>
          <w:lang w:val="uk-UA"/>
        </w:rPr>
        <w:t xml:space="preserve"> Постачальником на розрахунковий період та фактично отриман</w:t>
      </w:r>
      <w:r w:rsidR="00504A73" w:rsidRPr="003870DB">
        <w:rPr>
          <w:lang w:val="uk-UA"/>
        </w:rPr>
        <w:t>ого</w:t>
      </w:r>
      <w:r w:rsidRPr="003870DB">
        <w:rPr>
          <w:lang w:val="uk-UA"/>
        </w:rPr>
        <w:t xml:space="preserve"> обсяг</w:t>
      </w:r>
      <w:r w:rsidR="00504A73" w:rsidRPr="003870DB">
        <w:rPr>
          <w:lang w:val="uk-UA"/>
        </w:rPr>
        <w:t>у</w:t>
      </w:r>
      <w:r w:rsidRPr="003870DB">
        <w:rPr>
          <w:lang w:val="uk-UA"/>
        </w:rPr>
        <w:t xml:space="preserve"> розподіленої електроенергії</w:t>
      </w:r>
      <w:r w:rsidR="00504A73" w:rsidRPr="003870DB">
        <w:rPr>
          <w:lang w:val="uk-UA"/>
        </w:rPr>
        <w:t>.</w:t>
      </w:r>
    </w:p>
    <w:p w:rsidR="00A3691C" w:rsidRPr="003870DB" w:rsidRDefault="001F0BCA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</w:pPr>
      <w:r w:rsidRPr="003870DB">
        <w:rPr>
          <w:lang w:val="uk-UA"/>
        </w:rPr>
        <w:t xml:space="preserve">Оплата послуг з розподілу здійснюється Постачальником у формі попередньої оплати. </w:t>
      </w:r>
      <w:r w:rsidR="002A7260" w:rsidRPr="003870DB">
        <w:rPr>
          <w:lang w:val="uk-UA"/>
        </w:rPr>
        <w:t>По</w:t>
      </w:r>
      <w:r w:rsidR="00BC3A74" w:rsidRPr="003870DB">
        <w:rPr>
          <w:lang w:val="uk-UA"/>
        </w:rPr>
        <w:t xml:space="preserve">передня оплата здійснюється </w:t>
      </w:r>
      <w:r w:rsidR="00AE5BD9" w:rsidRPr="003870DB">
        <w:t xml:space="preserve">за 30 </w:t>
      </w:r>
      <w:proofErr w:type="spellStart"/>
      <w:r w:rsidR="00AE5BD9" w:rsidRPr="003870DB">
        <w:t>календарних</w:t>
      </w:r>
      <w:proofErr w:type="spellEnd"/>
      <w:r w:rsidR="00AE5BD9" w:rsidRPr="003870DB">
        <w:t xml:space="preserve"> </w:t>
      </w:r>
      <w:proofErr w:type="spellStart"/>
      <w:r w:rsidR="00AE5BD9" w:rsidRPr="003870DB">
        <w:t>днів</w:t>
      </w:r>
      <w:proofErr w:type="spellEnd"/>
      <w:r w:rsidR="00AE5BD9" w:rsidRPr="003870DB">
        <w:t xml:space="preserve"> до початку </w:t>
      </w:r>
      <w:proofErr w:type="spellStart"/>
      <w:r w:rsidR="00AE5BD9" w:rsidRPr="003870DB">
        <w:t>розрахункового</w:t>
      </w:r>
      <w:proofErr w:type="spellEnd"/>
      <w:r w:rsidR="00AE5BD9" w:rsidRPr="003870DB">
        <w:t xml:space="preserve"> </w:t>
      </w:r>
      <w:proofErr w:type="spellStart"/>
      <w:r w:rsidR="00AE5BD9" w:rsidRPr="003870DB">
        <w:t>місяця</w:t>
      </w:r>
      <w:proofErr w:type="spellEnd"/>
      <w:r w:rsidR="00AE5BD9" w:rsidRPr="003870DB">
        <w:t xml:space="preserve"> </w:t>
      </w:r>
      <w:r w:rsidR="002A7260" w:rsidRPr="003870DB">
        <w:rPr>
          <w:lang w:val="uk-UA"/>
        </w:rPr>
        <w:t>у</w:t>
      </w:r>
      <w:r w:rsidR="002A7260" w:rsidRPr="003870DB">
        <w:rPr>
          <w:snapToGrid w:val="0"/>
          <w:lang w:val="uk-UA"/>
        </w:rPr>
        <w:t xml:space="preserve"> розмірі </w:t>
      </w:r>
      <w:r w:rsidR="00DD18D7" w:rsidRPr="003870DB">
        <w:rPr>
          <w:snapToGrid w:val="0"/>
          <w:lang w:val="uk-UA"/>
        </w:rPr>
        <w:t>100%</w:t>
      </w:r>
      <w:r w:rsidR="002A7260" w:rsidRPr="003870DB">
        <w:rPr>
          <w:snapToGrid w:val="0"/>
          <w:lang w:val="uk-UA"/>
        </w:rPr>
        <w:t xml:space="preserve"> вартості</w:t>
      </w:r>
      <w:r w:rsidR="00F030F8" w:rsidRPr="003870DB">
        <w:rPr>
          <w:snapToGrid w:val="0"/>
          <w:lang w:val="uk-UA"/>
        </w:rPr>
        <w:t xml:space="preserve"> </w:t>
      </w:r>
      <w:r w:rsidR="006923EE" w:rsidRPr="003870DB">
        <w:rPr>
          <w:lang w:val="uk-UA"/>
        </w:rPr>
        <w:t xml:space="preserve">очікуваних (прогнозованих) величин  розподіленої електричної енергії за </w:t>
      </w:r>
      <w:r w:rsidR="002A7260" w:rsidRPr="003870DB">
        <w:rPr>
          <w:bCs/>
          <w:lang w:val="uk-UA"/>
        </w:rPr>
        <w:t xml:space="preserve"> </w:t>
      </w:r>
      <w:r w:rsidR="0041478F" w:rsidRPr="003870DB">
        <w:rPr>
          <w:lang w:val="uk-UA"/>
        </w:rPr>
        <w:t>Споживачам</w:t>
      </w:r>
      <w:r w:rsidR="006923EE" w:rsidRPr="003870DB">
        <w:rPr>
          <w:lang w:val="uk-UA"/>
        </w:rPr>
        <w:t>и Постачальника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>(</w:t>
      </w:r>
      <w:r w:rsidR="005F435E" w:rsidRPr="003870DB">
        <w:rPr>
          <w:lang w:val="uk-UA"/>
        </w:rPr>
        <w:t>Додаток</w:t>
      </w:r>
      <w:r w:rsidR="009A08CD" w:rsidRPr="003870DB">
        <w:rPr>
          <w:lang w:val="uk-UA"/>
        </w:rPr>
        <w:t xml:space="preserve"> </w:t>
      </w:r>
      <w:r w:rsidR="006923EE" w:rsidRPr="003870DB">
        <w:rPr>
          <w:lang w:val="uk-UA"/>
        </w:rPr>
        <w:t>4</w:t>
      </w:r>
      <w:r w:rsidRPr="003870DB">
        <w:rPr>
          <w:lang w:val="uk-UA"/>
        </w:rPr>
        <w:t xml:space="preserve"> до Договору)</w:t>
      </w:r>
      <w:r w:rsidR="002A7260" w:rsidRPr="003870DB">
        <w:rPr>
          <w:lang w:val="uk-UA"/>
        </w:rPr>
        <w:t xml:space="preserve"> на підставі </w:t>
      </w:r>
      <w:r w:rsidR="00752E36" w:rsidRPr="003870DB">
        <w:rPr>
          <w:lang w:val="uk-UA"/>
        </w:rPr>
        <w:t xml:space="preserve">самостійно </w:t>
      </w:r>
      <w:r w:rsidR="002A7260" w:rsidRPr="003870DB">
        <w:rPr>
          <w:lang w:val="uk-UA"/>
        </w:rPr>
        <w:t xml:space="preserve">отриманого </w:t>
      </w:r>
      <w:r w:rsidR="00525C91" w:rsidRPr="003870DB">
        <w:rPr>
          <w:lang w:val="uk-UA"/>
        </w:rPr>
        <w:t xml:space="preserve">Постачальником у Оператора системи </w:t>
      </w:r>
      <w:r w:rsidR="002A7260" w:rsidRPr="003870DB">
        <w:rPr>
          <w:lang w:val="uk-UA"/>
        </w:rPr>
        <w:t>рахунка.</w:t>
      </w:r>
    </w:p>
    <w:p w:rsidR="00A3691C" w:rsidRPr="003870DB" w:rsidRDefault="00525C91" w:rsidP="009C7C24">
      <w:pPr>
        <w:tabs>
          <w:tab w:val="left" w:pos="426"/>
          <w:tab w:val="left" w:pos="567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О</w:t>
      </w:r>
      <w:r w:rsidR="002A7260" w:rsidRPr="003870DB">
        <w:rPr>
          <w:lang w:val="uk-UA"/>
        </w:rPr>
        <w:t>статочний розрахунок за послуги з розподілу електричної енергії</w:t>
      </w:r>
      <w:r w:rsidR="00DD18D7" w:rsidRPr="003870DB">
        <w:rPr>
          <w:lang w:val="uk-UA"/>
        </w:rPr>
        <w:t>, в т.ч. за наявністю -</w:t>
      </w:r>
      <w:r w:rsidR="00063B0E" w:rsidRPr="003870DB">
        <w:rPr>
          <w:lang w:val="uk-UA"/>
        </w:rPr>
        <w:t xml:space="preserve"> пен</w:t>
      </w:r>
      <w:r w:rsidR="00A67CBF" w:rsidRPr="003870DB">
        <w:rPr>
          <w:lang w:val="uk-UA"/>
        </w:rPr>
        <w:t>я</w:t>
      </w:r>
      <w:r w:rsidR="002A7260" w:rsidRPr="003870DB">
        <w:rPr>
          <w:lang w:val="uk-UA"/>
        </w:rPr>
        <w:t>,</w:t>
      </w:r>
      <w:r w:rsidR="0044149E" w:rsidRPr="003870DB">
        <w:rPr>
          <w:lang w:val="uk-UA"/>
        </w:rPr>
        <w:t xml:space="preserve"> штрафи, </w:t>
      </w:r>
      <w:r w:rsidR="002A7260" w:rsidRPr="003870DB">
        <w:rPr>
          <w:lang w:val="uk-UA"/>
        </w:rPr>
        <w:t>3% річних</w:t>
      </w:r>
      <w:r w:rsidR="006923EE" w:rsidRPr="003870DB">
        <w:rPr>
          <w:lang w:val="uk-UA"/>
        </w:rPr>
        <w:t>,</w:t>
      </w:r>
      <w:r w:rsidR="00DD18D7" w:rsidRPr="003870DB">
        <w:rPr>
          <w:lang w:val="uk-UA"/>
        </w:rPr>
        <w:t xml:space="preserve"> </w:t>
      </w:r>
      <w:r w:rsidR="00063B0E" w:rsidRPr="003870DB">
        <w:rPr>
          <w:lang w:val="uk-UA"/>
        </w:rPr>
        <w:t>індекс</w:t>
      </w:r>
      <w:r w:rsidR="002A7260" w:rsidRPr="003870DB">
        <w:rPr>
          <w:lang w:val="uk-UA"/>
        </w:rPr>
        <w:t xml:space="preserve"> інфляції</w:t>
      </w:r>
      <w:r w:rsidR="00BC3A74" w:rsidRPr="003870DB">
        <w:rPr>
          <w:lang w:val="uk-UA"/>
        </w:rPr>
        <w:t xml:space="preserve"> </w:t>
      </w:r>
      <w:r w:rsidR="002A7260" w:rsidRPr="003870DB">
        <w:rPr>
          <w:lang w:val="uk-UA"/>
        </w:rPr>
        <w:t>здійснюється</w:t>
      </w:r>
      <w:r w:rsidRPr="003870DB">
        <w:rPr>
          <w:lang w:val="uk-UA"/>
        </w:rPr>
        <w:t xml:space="preserve"> Постачальником</w:t>
      </w:r>
      <w:r w:rsidR="002A7260" w:rsidRPr="003870DB">
        <w:rPr>
          <w:lang w:val="uk-UA"/>
        </w:rPr>
        <w:t xml:space="preserve"> </w:t>
      </w:r>
      <w:r w:rsidR="008B46B2" w:rsidRPr="003870DB">
        <w:rPr>
          <w:lang w:val="uk-UA"/>
        </w:rPr>
        <w:t xml:space="preserve">не пізніше 15 числа місяця, наступного за розрахунковим </w:t>
      </w:r>
      <w:r w:rsidR="002A7260" w:rsidRPr="003870DB">
        <w:rPr>
          <w:lang w:val="uk-UA"/>
        </w:rPr>
        <w:t xml:space="preserve">на </w:t>
      </w:r>
      <w:r w:rsidR="00FA3DB3" w:rsidRPr="003870DB">
        <w:rPr>
          <w:lang w:val="uk-UA"/>
        </w:rPr>
        <w:t>поточний</w:t>
      </w:r>
      <w:r w:rsidR="00E02ABA" w:rsidRPr="003870DB">
        <w:rPr>
          <w:lang w:val="uk-UA"/>
        </w:rPr>
        <w:t xml:space="preserve"> </w:t>
      </w:r>
      <w:r w:rsidR="002A7260" w:rsidRPr="003870DB">
        <w:rPr>
          <w:lang w:val="uk-UA"/>
        </w:rPr>
        <w:t>рахун</w:t>
      </w:r>
      <w:r w:rsidRPr="003870DB">
        <w:rPr>
          <w:lang w:val="uk-UA"/>
        </w:rPr>
        <w:t>ок</w:t>
      </w:r>
      <w:r w:rsidR="00063B0E" w:rsidRPr="003870DB">
        <w:rPr>
          <w:lang w:val="uk-UA"/>
        </w:rPr>
        <w:t xml:space="preserve"> Оператора системи</w:t>
      </w:r>
      <w:r w:rsidR="000C70EE" w:rsidRPr="003870DB">
        <w:rPr>
          <w:lang w:val="uk-UA"/>
        </w:rPr>
        <w:t>,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на підставі самостійно отриманого </w:t>
      </w:r>
      <w:r w:rsidR="000247EF" w:rsidRPr="003870DB">
        <w:rPr>
          <w:lang w:val="uk-UA"/>
        </w:rPr>
        <w:t xml:space="preserve">уповноваженою особою Постачальника </w:t>
      </w:r>
      <w:r w:rsidR="005F4E30" w:rsidRPr="003870DB">
        <w:rPr>
          <w:lang w:val="uk-UA"/>
        </w:rPr>
        <w:t>до 10 числа кожного місяця рахунку у Оператора системи</w:t>
      </w:r>
      <w:r w:rsidR="002A7260" w:rsidRPr="003870DB">
        <w:rPr>
          <w:lang w:val="uk-UA"/>
        </w:rPr>
        <w:t>.</w:t>
      </w:r>
      <w:r w:rsidR="00FA3DB3" w:rsidRPr="003870DB">
        <w:rPr>
          <w:lang w:val="uk-UA"/>
        </w:rPr>
        <w:t xml:space="preserve"> В разі не отримання рахунка, рахунок вважається отриманим і потребує оплати в вищезазначений термін.</w:t>
      </w:r>
    </w:p>
    <w:p w:rsidR="00A3691C" w:rsidRPr="003870DB" w:rsidRDefault="00CF599C" w:rsidP="009C7C24">
      <w:pPr>
        <w:tabs>
          <w:tab w:val="left" w:pos="426"/>
          <w:tab w:val="left" w:pos="567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С</w:t>
      </w:r>
      <w:r w:rsidR="002A7260" w:rsidRPr="003870DB">
        <w:rPr>
          <w:lang w:val="uk-UA"/>
        </w:rPr>
        <w:t>ум</w:t>
      </w:r>
      <w:r w:rsidRPr="003870DB">
        <w:rPr>
          <w:lang w:val="uk-UA"/>
        </w:rPr>
        <w:t>а</w:t>
      </w:r>
      <w:r w:rsidR="002A7260" w:rsidRPr="003870DB">
        <w:rPr>
          <w:lang w:val="uk-UA"/>
        </w:rPr>
        <w:t xml:space="preserve"> платежу остаточно</w:t>
      </w:r>
      <w:r w:rsidR="00C407E8" w:rsidRPr="003870DB">
        <w:rPr>
          <w:lang w:val="uk-UA"/>
        </w:rPr>
        <w:t>го</w:t>
      </w:r>
      <w:r w:rsidR="002A7260" w:rsidRPr="003870DB">
        <w:rPr>
          <w:lang w:val="uk-UA"/>
        </w:rPr>
        <w:t xml:space="preserve"> розрахунку за поточний розрахунковий період</w:t>
      </w:r>
      <w:r w:rsidRPr="003870DB">
        <w:rPr>
          <w:lang w:val="uk-UA"/>
        </w:rPr>
        <w:t xml:space="preserve"> визначається</w:t>
      </w:r>
      <w:r w:rsidR="002A7260" w:rsidRPr="003870DB">
        <w:rPr>
          <w:lang w:val="uk-UA"/>
        </w:rPr>
        <w:t xml:space="preserve"> Оператором системи</w:t>
      </w:r>
      <w:r w:rsidRPr="003870DB">
        <w:rPr>
          <w:lang w:val="uk-UA"/>
        </w:rPr>
        <w:t xml:space="preserve"> на підставі підписаного обома сторонами Акту виконаних робіт (послуг) (</w:t>
      </w:r>
      <w:r w:rsidR="00F132C1" w:rsidRPr="003870DB">
        <w:rPr>
          <w:lang w:val="uk-UA"/>
        </w:rPr>
        <w:t>Д</w:t>
      </w:r>
      <w:r w:rsidRPr="003870DB">
        <w:rPr>
          <w:lang w:val="uk-UA"/>
        </w:rPr>
        <w:t xml:space="preserve">одаток </w:t>
      </w:r>
      <w:r w:rsidR="00F132C1" w:rsidRPr="003870DB">
        <w:rPr>
          <w:lang w:val="uk-UA"/>
        </w:rPr>
        <w:t>6</w:t>
      </w:r>
      <w:r w:rsidRPr="003870DB">
        <w:rPr>
          <w:lang w:val="uk-UA"/>
        </w:rPr>
        <w:t xml:space="preserve"> до цього Договору) та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>з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>у</w:t>
      </w:r>
      <w:r w:rsidR="002A7260" w:rsidRPr="003870DB">
        <w:rPr>
          <w:lang w:val="uk-UA"/>
        </w:rPr>
        <w:t>рах</w:t>
      </w:r>
      <w:r w:rsidRPr="003870DB">
        <w:rPr>
          <w:lang w:val="uk-UA"/>
        </w:rPr>
        <w:t>у</w:t>
      </w:r>
      <w:r w:rsidR="002A7260" w:rsidRPr="003870DB">
        <w:rPr>
          <w:lang w:val="uk-UA"/>
        </w:rPr>
        <w:t>ван</w:t>
      </w:r>
      <w:r w:rsidRPr="003870DB">
        <w:rPr>
          <w:lang w:val="uk-UA"/>
        </w:rPr>
        <w:t>ням</w:t>
      </w:r>
      <w:r w:rsidR="002A7260" w:rsidRPr="003870DB">
        <w:rPr>
          <w:lang w:val="uk-UA"/>
        </w:rPr>
        <w:t xml:space="preserve"> суми проведених попередніх платежів за послуги з розподілу електричної енергії в п</w:t>
      </w:r>
      <w:r w:rsidRPr="003870DB">
        <w:rPr>
          <w:lang w:val="uk-UA"/>
        </w:rPr>
        <w:t>оточному розрахунковому періоді</w:t>
      </w:r>
      <w:r w:rsidR="00163569" w:rsidRPr="003870DB">
        <w:rPr>
          <w:lang w:val="uk-UA"/>
        </w:rPr>
        <w:t>.</w:t>
      </w:r>
    </w:p>
    <w:p w:rsidR="00A3691C" w:rsidRPr="003870DB" w:rsidRDefault="0021523C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Оплата послуг з розподілу електричної енергії здійснюється Постачальником на</w:t>
      </w:r>
      <w:r w:rsidR="00F132C1" w:rsidRPr="003870DB">
        <w:rPr>
          <w:lang w:val="uk-UA"/>
        </w:rPr>
        <w:t xml:space="preserve"> </w:t>
      </w:r>
      <w:r w:rsidRPr="003870DB">
        <w:rPr>
          <w:lang w:val="uk-UA"/>
        </w:rPr>
        <w:t>поточний рахунок Оператора системи</w:t>
      </w:r>
      <w:r w:rsidR="00DD18D7" w:rsidRPr="003870DB">
        <w:rPr>
          <w:lang w:val="uk-UA"/>
        </w:rPr>
        <w:t>.</w:t>
      </w:r>
    </w:p>
    <w:p w:rsidR="00A3691C" w:rsidRPr="003870DB" w:rsidRDefault="00227F5E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lastRenderedPageBreak/>
        <w:t>Оплата послу</w:t>
      </w:r>
      <w:r w:rsidR="008A7308" w:rsidRPr="003870DB">
        <w:rPr>
          <w:lang w:val="uk-UA"/>
        </w:rPr>
        <w:t>г з припинення електроживлення С</w:t>
      </w:r>
      <w:r w:rsidRPr="003870DB">
        <w:rPr>
          <w:lang w:val="uk-UA"/>
        </w:rPr>
        <w:t>поживача електричної енергії за вимогою Постачальника здійснюється Постачальником на підставі рахунків, які надаються Оператором системи у випадках, передбачених розділом 8 Договору.</w:t>
      </w:r>
    </w:p>
    <w:p w:rsidR="00A3691C" w:rsidRPr="003870DB" w:rsidRDefault="00227F5E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Постачальник сплачує рахунки за послуги</w:t>
      </w:r>
      <w:r w:rsidR="009B3854" w:rsidRPr="003870DB">
        <w:rPr>
          <w:lang w:val="uk-UA"/>
        </w:rPr>
        <w:t xml:space="preserve"> пов’язані</w:t>
      </w:r>
      <w:r w:rsidRPr="003870DB">
        <w:rPr>
          <w:lang w:val="uk-UA"/>
        </w:rPr>
        <w:t xml:space="preserve"> з припинення</w:t>
      </w:r>
      <w:r w:rsidR="009D1C3F" w:rsidRPr="003870DB">
        <w:rPr>
          <w:lang w:val="uk-UA"/>
        </w:rPr>
        <w:t>м</w:t>
      </w:r>
      <w:r w:rsidR="008A7308" w:rsidRPr="003870DB">
        <w:rPr>
          <w:lang w:val="uk-UA"/>
        </w:rPr>
        <w:t xml:space="preserve"> електроживлення С</w:t>
      </w:r>
      <w:r w:rsidRPr="003870DB">
        <w:rPr>
          <w:lang w:val="uk-UA"/>
        </w:rPr>
        <w:t xml:space="preserve">поживача електричної енергії протягом </w:t>
      </w:r>
      <w:r w:rsidR="00C752F2" w:rsidRPr="003870DB">
        <w:rPr>
          <w:lang w:val="uk-UA"/>
        </w:rPr>
        <w:t>3</w:t>
      </w:r>
      <w:r w:rsidRPr="003870DB">
        <w:rPr>
          <w:lang w:val="uk-UA"/>
        </w:rPr>
        <w:t xml:space="preserve"> операційних днів з дати їх отримання</w:t>
      </w:r>
      <w:r w:rsidR="00063B0E" w:rsidRPr="003870DB">
        <w:rPr>
          <w:lang w:val="uk-UA"/>
        </w:rPr>
        <w:t>, на поточний рахунок Оператора системи.</w:t>
      </w:r>
    </w:p>
    <w:p w:rsidR="00A3691C" w:rsidRPr="003870DB" w:rsidRDefault="00DF70E9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Оплата послуг</w:t>
      </w:r>
      <w:r w:rsidR="009D1C3F" w:rsidRPr="003870DB">
        <w:rPr>
          <w:lang w:val="uk-UA"/>
        </w:rPr>
        <w:t xml:space="preserve"> </w:t>
      </w:r>
      <w:r w:rsidR="008C0155" w:rsidRPr="003870DB">
        <w:rPr>
          <w:lang w:val="uk-UA"/>
        </w:rPr>
        <w:t>пов’язаних</w:t>
      </w:r>
      <w:r w:rsidR="009D1C3F" w:rsidRPr="003870DB">
        <w:rPr>
          <w:lang w:val="uk-UA"/>
        </w:rPr>
        <w:t xml:space="preserve"> з </w:t>
      </w:r>
      <w:r w:rsidRPr="003870DB">
        <w:rPr>
          <w:lang w:val="uk-UA"/>
        </w:rPr>
        <w:t>відновлення</w:t>
      </w:r>
      <w:r w:rsidR="009D1C3F" w:rsidRPr="003870DB">
        <w:rPr>
          <w:lang w:val="uk-UA"/>
        </w:rPr>
        <w:t>м</w:t>
      </w:r>
      <w:r w:rsidRPr="003870DB">
        <w:rPr>
          <w:lang w:val="uk-UA"/>
        </w:rPr>
        <w:t xml:space="preserve"> ел</w:t>
      </w:r>
      <w:r w:rsidR="008A7308" w:rsidRPr="003870DB">
        <w:rPr>
          <w:lang w:val="uk-UA"/>
        </w:rPr>
        <w:t>ектроживлення електроустановок С</w:t>
      </w:r>
      <w:r w:rsidRPr="003870DB">
        <w:rPr>
          <w:lang w:val="uk-UA"/>
        </w:rPr>
        <w:t xml:space="preserve">поживача, </w:t>
      </w:r>
      <w:r w:rsidR="008C0155" w:rsidRPr="003870DB">
        <w:rPr>
          <w:lang w:val="uk-UA"/>
        </w:rPr>
        <w:t>яке</w:t>
      </w:r>
      <w:r w:rsidRPr="003870DB">
        <w:rPr>
          <w:lang w:val="uk-UA"/>
        </w:rPr>
        <w:t xml:space="preserve"> було припинено за вимогою Постачальника, здійснюється Постачальником</w:t>
      </w:r>
      <w:r w:rsidR="00DB7DCD" w:rsidRPr="003870DB">
        <w:rPr>
          <w:lang w:val="uk-UA"/>
        </w:rPr>
        <w:t xml:space="preserve"> </w:t>
      </w:r>
      <w:r w:rsidRPr="003870DB">
        <w:rPr>
          <w:lang w:val="uk-UA"/>
        </w:rPr>
        <w:t>на підставі самостійно отриманих у Оператора системи рахунків.</w:t>
      </w:r>
      <w:r w:rsidR="00DF2E6F" w:rsidRPr="003870DB">
        <w:rPr>
          <w:lang w:val="uk-UA"/>
        </w:rPr>
        <w:t xml:space="preserve"> </w:t>
      </w:r>
      <w:r w:rsidRPr="003870DB">
        <w:rPr>
          <w:lang w:val="uk-UA"/>
        </w:rPr>
        <w:t>Роботи з відновлення ел</w:t>
      </w:r>
      <w:r w:rsidR="008A7308" w:rsidRPr="003870DB">
        <w:rPr>
          <w:lang w:val="uk-UA"/>
        </w:rPr>
        <w:t>ектроживлення електроустановок С</w:t>
      </w:r>
      <w:r w:rsidRPr="003870DB">
        <w:rPr>
          <w:lang w:val="uk-UA"/>
        </w:rPr>
        <w:t xml:space="preserve">поживача, </w:t>
      </w:r>
      <w:r w:rsidR="008C0155" w:rsidRPr="003870DB">
        <w:rPr>
          <w:lang w:val="uk-UA"/>
        </w:rPr>
        <w:t>яке</w:t>
      </w:r>
      <w:r w:rsidRPr="003870DB">
        <w:rPr>
          <w:lang w:val="uk-UA"/>
        </w:rPr>
        <w:t xml:space="preserve"> було припинено за вимогою Постачальника, проводяться після надходження коштів на </w:t>
      </w:r>
      <w:r w:rsidR="00DB7DCD" w:rsidRPr="003870DB">
        <w:rPr>
          <w:lang w:val="uk-UA"/>
        </w:rPr>
        <w:t xml:space="preserve">поточний </w:t>
      </w:r>
      <w:r w:rsidRPr="003870DB">
        <w:rPr>
          <w:lang w:val="uk-UA"/>
        </w:rPr>
        <w:t>рахунок Оператора системи.</w:t>
      </w:r>
    </w:p>
    <w:p w:rsidR="006C1DF2" w:rsidRPr="003870DB" w:rsidRDefault="006C1DF2" w:rsidP="008D366E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Вартість додаткових (інформаційних) послуг </w:t>
      </w:r>
      <w:r w:rsidR="008D366E" w:rsidRPr="003870DB">
        <w:rPr>
          <w:lang w:val="uk-UA"/>
        </w:rPr>
        <w:t>Оператора системи</w:t>
      </w:r>
      <w:r w:rsidRPr="003870DB">
        <w:rPr>
          <w:lang w:val="uk-UA"/>
        </w:rPr>
        <w:t xml:space="preserve"> не може перевищувати граничні показники, затверджені НКРЕКП. </w:t>
      </w:r>
    </w:p>
    <w:p w:rsidR="006C1DF2" w:rsidRPr="003870DB" w:rsidRDefault="006C1DF2" w:rsidP="006C1DF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На вартість послуг з розподілу електроенергії та додаткових (інформаційних) послуг нараховується податок на додану вартість відповідно до законодавства України.</w:t>
      </w:r>
    </w:p>
    <w:p w:rsidR="006C1DF2" w:rsidRPr="003870DB" w:rsidRDefault="006C1DF2" w:rsidP="006C1DF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Оплата додаткових (інформаційних) послуг здійснюється Постачальником окремими платіжними дорученнями на підставі виставлених </w:t>
      </w:r>
      <w:r w:rsidR="008D366E" w:rsidRPr="003870DB">
        <w:rPr>
          <w:lang w:val="uk-UA"/>
        </w:rPr>
        <w:t>Оператором системи</w:t>
      </w:r>
      <w:r w:rsidRPr="003870DB">
        <w:rPr>
          <w:lang w:val="uk-UA"/>
        </w:rPr>
        <w:t xml:space="preserve"> рахунків</w:t>
      </w:r>
      <w:r w:rsidRPr="003870DB">
        <w:t xml:space="preserve"> </w:t>
      </w:r>
      <w:r w:rsidRPr="003870DB">
        <w:rPr>
          <w:lang w:val="uk-UA"/>
        </w:rPr>
        <w:t>протягом 3 операційних днів з дати їх отримання, на поточний рахунок Оператора системи.</w:t>
      </w:r>
    </w:p>
    <w:p w:rsidR="00832D49" w:rsidRPr="003870DB" w:rsidRDefault="00832D49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Звіряння взаєморозрахунків здійснюється на вимогу однієї із Сторін, але не рідше ніж 1 раз на рік - станом на 1 січня кожного календарного року. Підсумок звіряння оформлюється </w:t>
      </w:r>
      <w:r w:rsidRPr="003870DB">
        <w:rPr>
          <w:bCs/>
          <w:lang w:val="uk-UA"/>
        </w:rPr>
        <w:t xml:space="preserve">Актом звіряння взаєморозрахунків </w:t>
      </w:r>
      <w:r w:rsidRPr="003870DB">
        <w:rPr>
          <w:lang w:val="uk-UA"/>
        </w:rPr>
        <w:t xml:space="preserve">за формою </w:t>
      </w:r>
      <w:r w:rsidR="005F435E" w:rsidRPr="003870DB">
        <w:rPr>
          <w:lang w:val="uk-UA"/>
        </w:rPr>
        <w:t xml:space="preserve">Додатка </w:t>
      </w:r>
      <w:r w:rsidR="000F768B" w:rsidRPr="003870DB">
        <w:rPr>
          <w:lang w:val="uk-UA"/>
        </w:rPr>
        <w:t>7</w:t>
      </w:r>
      <w:r w:rsidRPr="003870DB">
        <w:rPr>
          <w:lang w:val="uk-UA"/>
        </w:rPr>
        <w:t xml:space="preserve"> до цього Договору.</w:t>
      </w:r>
    </w:p>
    <w:p w:rsidR="00603AE9" w:rsidRPr="003870DB" w:rsidRDefault="00603AE9" w:rsidP="00603AE9">
      <w:pPr>
        <w:tabs>
          <w:tab w:val="left" w:pos="426"/>
        </w:tabs>
        <w:spacing w:before="120" w:after="120"/>
        <w:jc w:val="both"/>
        <w:rPr>
          <w:lang w:val="uk-UA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</w:tblGrid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rPr>
                <w:b/>
              </w:rPr>
              <w:t>ОПЕРАТОР СИСТЕМИ</w:t>
            </w:r>
          </w:p>
        </w:tc>
        <w:tc>
          <w:tcPr>
            <w:tcW w:w="4111" w:type="dxa"/>
            <w:vAlign w:val="center"/>
            <w:hideMark/>
          </w:tcPr>
          <w:p w:rsidR="00CE2A32" w:rsidRPr="003870DB" w:rsidRDefault="00CE2A32">
            <w:pPr>
              <w:ind w:left="-108"/>
              <w:rPr>
                <w:b/>
                <w:lang w:val="uk-UA"/>
              </w:rPr>
            </w:pPr>
            <w:r w:rsidRPr="003870DB">
              <w:rPr>
                <w:b/>
              </w:rPr>
              <w:t>ПОСТАЧАЛЬНИК</w:t>
            </w:r>
          </w:p>
        </w:tc>
      </w:tr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rPr>
                <w:b/>
                <w:lang w:val="uk-UA"/>
              </w:rPr>
              <w:t>ПрАТ «ПЕЕМ «ЦЕК»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proofErr w:type="spellStart"/>
            <w:r w:rsidRPr="003870DB">
              <w:t>Генеральний</w:t>
            </w:r>
            <w:proofErr w:type="spellEnd"/>
            <w:r w:rsidRPr="003870DB">
              <w:t xml:space="preserve"> директор –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t xml:space="preserve">Голова </w:t>
            </w:r>
            <w:proofErr w:type="spellStart"/>
            <w:r w:rsidRPr="003870DB">
              <w:t>Правління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3870DB" w:rsidRPr="003870DB" w:rsidTr="00CE2A32">
        <w:trPr>
          <w:trHeight w:val="661"/>
        </w:trPr>
        <w:tc>
          <w:tcPr>
            <w:tcW w:w="4820" w:type="dxa"/>
            <w:vAlign w:val="bottom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t xml:space="preserve">_______________________ М.В. </w:t>
            </w:r>
            <w:proofErr w:type="spellStart"/>
            <w:r w:rsidRPr="003870DB">
              <w:t>Корса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CE2A32" w:rsidRPr="003870DB" w:rsidTr="00CE2A32">
        <w:trPr>
          <w:trHeight w:val="661"/>
        </w:trPr>
        <w:tc>
          <w:tcPr>
            <w:tcW w:w="4820" w:type="dxa"/>
            <w:vAlign w:val="bottom"/>
            <w:hideMark/>
          </w:tcPr>
          <w:p w:rsidR="00CE2A32" w:rsidRPr="003870DB" w:rsidRDefault="00CE2A32">
            <w:pPr>
              <w:rPr>
                <w:u w:val="single"/>
                <w:lang w:val="uk-UA"/>
              </w:rPr>
            </w:pPr>
            <w:r w:rsidRPr="003870DB">
              <w:t>"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"</w:t>
            </w:r>
            <w:r w:rsidRPr="003870DB">
              <w:rPr>
                <w:u w:val="single"/>
                <w:lang w:val="uk-UA"/>
              </w:rPr>
              <w:t xml:space="preserve">                                     </w:t>
            </w:r>
            <w:r w:rsidRPr="003870DB">
              <w:rPr>
                <w:lang w:val="uk-UA"/>
              </w:rPr>
              <w:t>20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р.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2A32" w:rsidRPr="003870DB" w:rsidRDefault="00CE2A32">
            <w:pPr>
              <w:ind w:left="-92"/>
              <w:rPr>
                <w:b/>
                <w:lang w:val="uk-UA"/>
              </w:rPr>
            </w:pPr>
            <w:r w:rsidRPr="003870DB">
              <w:t>"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"</w:t>
            </w:r>
            <w:r w:rsidRPr="003870DB">
              <w:rPr>
                <w:u w:val="single"/>
                <w:lang w:val="uk-UA"/>
              </w:rPr>
              <w:t xml:space="preserve">                                     </w:t>
            </w:r>
            <w:r w:rsidRPr="003870DB">
              <w:rPr>
                <w:lang w:val="uk-UA"/>
              </w:rPr>
              <w:t>20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р.</w:t>
            </w:r>
          </w:p>
        </w:tc>
      </w:tr>
    </w:tbl>
    <w:p w:rsidR="00603AE9" w:rsidRPr="003870DB" w:rsidRDefault="00603AE9" w:rsidP="00603AE9">
      <w:pPr>
        <w:tabs>
          <w:tab w:val="left" w:pos="426"/>
        </w:tabs>
        <w:spacing w:before="120" w:after="120"/>
        <w:jc w:val="both"/>
        <w:rPr>
          <w:lang w:val="uk-UA"/>
        </w:rPr>
      </w:pPr>
    </w:p>
    <w:sectPr w:rsidR="00603AE9" w:rsidRPr="003870DB" w:rsidSect="00B2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AC2"/>
    <w:multiLevelType w:val="hybridMultilevel"/>
    <w:tmpl w:val="2EA82848"/>
    <w:lvl w:ilvl="0" w:tplc="C7382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0C3021"/>
    <w:multiLevelType w:val="hybridMultilevel"/>
    <w:tmpl w:val="2C32CF36"/>
    <w:lvl w:ilvl="0" w:tplc="59382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D1A2A"/>
    <w:multiLevelType w:val="hybridMultilevel"/>
    <w:tmpl w:val="0C86F042"/>
    <w:lvl w:ilvl="0" w:tplc="CA6C09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D7"/>
    <w:rsid w:val="000247EF"/>
    <w:rsid w:val="00063B0E"/>
    <w:rsid w:val="00066EE7"/>
    <w:rsid w:val="000B47F3"/>
    <w:rsid w:val="000C1640"/>
    <w:rsid w:val="000C70EE"/>
    <w:rsid w:val="000D0185"/>
    <w:rsid w:val="000E661B"/>
    <w:rsid w:val="000F768B"/>
    <w:rsid w:val="00101623"/>
    <w:rsid w:val="0011147B"/>
    <w:rsid w:val="0016243D"/>
    <w:rsid w:val="001632E2"/>
    <w:rsid w:val="00163569"/>
    <w:rsid w:val="001659C3"/>
    <w:rsid w:val="00172EEF"/>
    <w:rsid w:val="001752D6"/>
    <w:rsid w:val="001F0BCA"/>
    <w:rsid w:val="00204B57"/>
    <w:rsid w:val="00213947"/>
    <w:rsid w:val="0021523C"/>
    <w:rsid w:val="00215978"/>
    <w:rsid w:val="00227F5E"/>
    <w:rsid w:val="00234F89"/>
    <w:rsid w:val="002540D8"/>
    <w:rsid w:val="00255D69"/>
    <w:rsid w:val="00275832"/>
    <w:rsid w:val="00277BE3"/>
    <w:rsid w:val="0028023F"/>
    <w:rsid w:val="002A143A"/>
    <w:rsid w:val="002A7260"/>
    <w:rsid w:val="002E258B"/>
    <w:rsid w:val="002F43DA"/>
    <w:rsid w:val="00360FBF"/>
    <w:rsid w:val="00381A30"/>
    <w:rsid w:val="003870DB"/>
    <w:rsid w:val="00393349"/>
    <w:rsid w:val="003B7FCC"/>
    <w:rsid w:val="003D58E8"/>
    <w:rsid w:val="003D790D"/>
    <w:rsid w:val="003E02CB"/>
    <w:rsid w:val="0041478F"/>
    <w:rsid w:val="00420A56"/>
    <w:rsid w:val="004308B1"/>
    <w:rsid w:val="00430F46"/>
    <w:rsid w:val="0044149E"/>
    <w:rsid w:val="004535B0"/>
    <w:rsid w:val="004C539A"/>
    <w:rsid w:val="004E58C4"/>
    <w:rsid w:val="00504A73"/>
    <w:rsid w:val="005163B0"/>
    <w:rsid w:val="00525C91"/>
    <w:rsid w:val="00532448"/>
    <w:rsid w:val="00533752"/>
    <w:rsid w:val="0054747F"/>
    <w:rsid w:val="005965F0"/>
    <w:rsid w:val="005A78EE"/>
    <w:rsid w:val="005F435E"/>
    <w:rsid w:val="005F4E30"/>
    <w:rsid w:val="006021C4"/>
    <w:rsid w:val="00603AE9"/>
    <w:rsid w:val="00621C01"/>
    <w:rsid w:val="00652FBD"/>
    <w:rsid w:val="006923EE"/>
    <w:rsid w:val="00692FDF"/>
    <w:rsid w:val="00695A9E"/>
    <w:rsid w:val="006C1DF2"/>
    <w:rsid w:val="006E386F"/>
    <w:rsid w:val="006E411A"/>
    <w:rsid w:val="0072180B"/>
    <w:rsid w:val="00744667"/>
    <w:rsid w:val="00752E36"/>
    <w:rsid w:val="00757826"/>
    <w:rsid w:val="00786661"/>
    <w:rsid w:val="007A1BCB"/>
    <w:rsid w:val="007B31DB"/>
    <w:rsid w:val="007B641D"/>
    <w:rsid w:val="008050EB"/>
    <w:rsid w:val="00810254"/>
    <w:rsid w:val="00832D49"/>
    <w:rsid w:val="00836FD4"/>
    <w:rsid w:val="00857670"/>
    <w:rsid w:val="008658D2"/>
    <w:rsid w:val="008859E9"/>
    <w:rsid w:val="00891C8D"/>
    <w:rsid w:val="00896F5A"/>
    <w:rsid w:val="008A1C64"/>
    <w:rsid w:val="008A7308"/>
    <w:rsid w:val="008A76A5"/>
    <w:rsid w:val="008B1AF2"/>
    <w:rsid w:val="008B46B2"/>
    <w:rsid w:val="008C0155"/>
    <w:rsid w:val="008D366E"/>
    <w:rsid w:val="008E3823"/>
    <w:rsid w:val="00912DDC"/>
    <w:rsid w:val="00913E92"/>
    <w:rsid w:val="00953AB9"/>
    <w:rsid w:val="009A08CD"/>
    <w:rsid w:val="009A744B"/>
    <w:rsid w:val="009B3854"/>
    <w:rsid w:val="009C378E"/>
    <w:rsid w:val="009C7C24"/>
    <w:rsid w:val="009D1C3F"/>
    <w:rsid w:val="009D636C"/>
    <w:rsid w:val="00A0123D"/>
    <w:rsid w:val="00A07EE7"/>
    <w:rsid w:val="00A30A9D"/>
    <w:rsid w:val="00A3691C"/>
    <w:rsid w:val="00A36D38"/>
    <w:rsid w:val="00A370B1"/>
    <w:rsid w:val="00A67CBF"/>
    <w:rsid w:val="00A86723"/>
    <w:rsid w:val="00AA096C"/>
    <w:rsid w:val="00AA54D4"/>
    <w:rsid w:val="00AB5447"/>
    <w:rsid w:val="00AB5FBD"/>
    <w:rsid w:val="00AC478E"/>
    <w:rsid w:val="00AE5BD9"/>
    <w:rsid w:val="00B02906"/>
    <w:rsid w:val="00B10138"/>
    <w:rsid w:val="00B10553"/>
    <w:rsid w:val="00B23462"/>
    <w:rsid w:val="00B74148"/>
    <w:rsid w:val="00BC3A74"/>
    <w:rsid w:val="00BF5EB9"/>
    <w:rsid w:val="00C044F4"/>
    <w:rsid w:val="00C06478"/>
    <w:rsid w:val="00C16081"/>
    <w:rsid w:val="00C310D6"/>
    <w:rsid w:val="00C407E8"/>
    <w:rsid w:val="00C4382B"/>
    <w:rsid w:val="00C70687"/>
    <w:rsid w:val="00C752F2"/>
    <w:rsid w:val="00C95ED7"/>
    <w:rsid w:val="00CD0B9B"/>
    <w:rsid w:val="00CE2A32"/>
    <w:rsid w:val="00CE4A09"/>
    <w:rsid w:val="00CF16BD"/>
    <w:rsid w:val="00CF599C"/>
    <w:rsid w:val="00D2461A"/>
    <w:rsid w:val="00D56BF2"/>
    <w:rsid w:val="00DA1DC5"/>
    <w:rsid w:val="00DB7DCD"/>
    <w:rsid w:val="00DD1566"/>
    <w:rsid w:val="00DD18D7"/>
    <w:rsid w:val="00DE6495"/>
    <w:rsid w:val="00DF0829"/>
    <w:rsid w:val="00DF2E6F"/>
    <w:rsid w:val="00DF70E9"/>
    <w:rsid w:val="00E02ABA"/>
    <w:rsid w:val="00E15EE7"/>
    <w:rsid w:val="00E53F09"/>
    <w:rsid w:val="00E8271B"/>
    <w:rsid w:val="00EA02E7"/>
    <w:rsid w:val="00EA0460"/>
    <w:rsid w:val="00EC67CD"/>
    <w:rsid w:val="00ED09F5"/>
    <w:rsid w:val="00ED7AE4"/>
    <w:rsid w:val="00F02047"/>
    <w:rsid w:val="00F030F8"/>
    <w:rsid w:val="00F07E76"/>
    <w:rsid w:val="00F1252C"/>
    <w:rsid w:val="00F132C1"/>
    <w:rsid w:val="00F34FD2"/>
    <w:rsid w:val="00F363FC"/>
    <w:rsid w:val="00F72DBC"/>
    <w:rsid w:val="00F82068"/>
    <w:rsid w:val="00F825B4"/>
    <w:rsid w:val="00FA3DB3"/>
    <w:rsid w:val="00FC0A98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95ED7"/>
    <w:pPr>
      <w:keepNext/>
      <w:jc w:val="center"/>
      <w:outlineLvl w:val="5"/>
    </w:pPr>
    <w:rPr>
      <w:rFonts w:ascii="MS Sans Serif" w:hAnsi="MS Sans Serif"/>
      <w:b/>
      <w:sz w:val="28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2758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ED7"/>
    <w:rPr>
      <w:rFonts w:ascii="MS Sans Serif" w:eastAsia="Times New Roman" w:hAnsi="MS Sans Serif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360FBF"/>
    <w:pPr>
      <w:ind w:left="720"/>
      <w:contextualSpacing/>
    </w:pPr>
  </w:style>
  <w:style w:type="paragraph" w:styleId="a4">
    <w:name w:val="Body Text Indent"/>
    <w:basedOn w:val="a"/>
    <w:link w:val="a5"/>
    <w:rsid w:val="0021523C"/>
    <w:pPr>
      <w:ind w:firstLine="720"/>
      <w:jc w:val="both"/>
    </w:pPr>
    <w:rPr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152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21523C"/>
    <w:pPr>
      <w:ind w:firstLine="720"/>
      <w:jc w:val="both"/>
    </w:pPr>
    <w:rPr>
      <w:b/>
      <w:i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21523C"/>
    <w:rPr>
      <w:rFonts w:ascii="Times New Roman" w:eastAsia="Times New Roman" w:hAnsi="Times New Roman" w:cs="Times New Roman"/>
      <w:b/>
      <w:i/>
      <w:sz w:val="28"/>
      <w:szCs w:val="24"/>
      <w:lang w:val="uk-UA" w:eastAsia="ru-RU"/>
    </w:rPr>
  </w:style>
  <w:style w:type="paragraph" w:styleId="a6">
    <w:name w:val="Normal (Web)"/>
    <w:basedOn w:val="a"/>
    <w:rsid w:val="0021523C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rsid w:val="002758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C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E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95ED7"/>
    <w:pPr>
      <w:keepNext/>
      <w:jc w:val="center"/>
      <w:outlineLvl w:val="5"/>
    </w:pPr>
    <w:rPr>
      <w:rFonts w:ascii="MS Sans Serif" w:hAnsi="MS Sans Serif"/>
      <w:b/>
      <w:sz w:val="28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2758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ED7"/>
    <w:rPr>
      <w:rFonts w:ascii="MS Sans Serif" w:eastAsia="Times New Roman" w:hAnsi="MS Sans Serif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360FBF"/>
    <w:pPr>
      <w:ind w:left="720"/>
      <w:contextualSpacing/>
    </w:pPr>
  </w:style>
  <w:style w:type="paragraph" w:styleId="a4">
    <w:name w:val="Body Text Indent"/>
    <w:basedOn w:val="a"/>
    <w:link w:val="a5"/>
    <w:rsid w:val="0021523C"/>
    <w:pPr>
      <w:ind w:firstLine="720"/>
      <w:jc w:val="both"/>
    </w:pPr>
    <w:rPr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152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21523C"/>
    <w:pPr>
      <w:ind w:firstLine="720"/>
      <w:jc w:val="both"/>
    </w:pPr>
    <w:rPr>
      <w:b/>
      <w:i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21523C"/>
    <w:rPr>
      <w:rFonts w:ascii="Times New Roman" w:eastAsia="Times New Roman" w:hAnsi="Times New Roman" w:cs="Times New Roman"/>
      <w:b/>
      <w:i/>
      <w:sz w:val="28"/>
      <w:szCs w:val="24"/>
      <w:lang w:val="uk-UA" w:eastAsia="ru-RU"/>
    </w:rPr>
  </w:style>
  <w:style w:type="paragraph" w:styleId="a6">
    <w:name w:val="Normal (Web)"/>
    <w:basedOn w:val="a"/>
    <w:rsid w:val="0021523C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rsid w:val="002758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C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E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egurova</dc:creator>
  <cp:lastModifiedBy>Plahtiy Evgeniy</cp:lastModifiedBy>
  <cp:revision>8</cp:revision>
  <cp:lastPrinted>2018-11-22T12:29:00Z</cp:lastPrinted>
  <dcterms:created xsi:type="dcterms:W3CDTF">2018-12-04T11:55:00Z</dcterms:created>
  <dcterms:modified xsi:type="dcterms:W3CDTF">2018-12-07T06:03:00Z</dcterms:modified>
</cp:coreProperties>
</file>